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Georgia" w:eastAsiaTheme="minorHAnsi" w:hAnsi="Georgia" w:cstheme="minorBidi"/>
          <w:b w:val="0"/>
          <w:i w:val="0"/>
          <w:spacing w:val="0"/>
          <w:kern w:val="0"/>
          <w:sz w:val="20"/>
          <w:szCs w:val="20"/>
          <w:highlight w:val="yellow"/>
          <w:lang w:val="lv-LV"/>
        </w:rPr>
        <w:id w:val="107030470"/>
        <w:docPartObj>
          <w:docPartGallery w:val="Cover Pages"/>
          <w:docPartUnique/>
        </w:docPartObj>
      </w:sdtPr>
      <w:sdtEndPr/>
      <w:sdtContent>
        <w:p w14:paraId="304CFEDF" w14:textId="7BEF23F9" w:rsidR="009E1163" w:rsidRPr="00A9058D" w:rsidRDefault="00376C94">
          <w:pPr>
            <w:pStyle w:val="Title"/>
            <w:rPr>
              <w:szCs w:val="80"/>
              <w:lang w:val="lv-LV"/>
            </w:rPr>
          </w:pPr>
          <w:r w:rsidRPr="00A9058D">
            <w:rPr>
              <w:szCs w:val="80"/>
              <w:lang w:val="lv-LV"/>
            </w:rPr>
            <w:t>Pētījums</w:t>
          </w:r>
        </w:p>
        <w:p w14:paraId="42F8C85A" w14:textId="0796BC9D" w:rsidR="00E03235" w:rsidRPr="00A9058D" w:rsidRDefault="00E03235" w:rsidP="00E03235">
          <w:pPr>
            <w:pStyle w:val="Subtitle"/>
            <w:rPr>
              <w:szCs w:val="80"/>
              <w:lang w:val="lv-LV"/>
            </w:rPr>
          </w:pPr>
          <w:r w:rsidRPr="00A9058D">
            <w:rPr>
              <w:szCs w:val="80"/>
              <w:lang w:val="lv-LV"/>
            </w:rPr>
            <w:t xml:space="preserve">Par </w:t>
          </w:r>
          <w:r w:rsidR="00376C94" w:rsidRPr="00A9058D">
            <w:rPr>
              <w:szCs w:val="80"/>
              <w:lang w:val="lv-LV"/>
            </w:rPr>
            <w:t>Latvijas mediju</w:t>
          </w:r>
          <w:r w:rsidRPr="00A9058D">
            <w:rPr>
              <w:szCs w:val="80"/>
              <w:lang w:val="lv-LV"/>
            </w:rPr>
            <w:t xml:space="preserve"> </w:t>
          </w:r>
          <w:r w:rsidR="00376C94" w:rsidRPr="00A9058D">
            <w:rPr>
              <w:szCs w:val="80"/>
              <w:lang w:val="lv-LV"/>
            </w:rPr>
            <w:t>finansēšanu</w:t>
          </w:r>
          <w:r w:rsidRPr="00A9058D">
            <w:rPr>
              <w:szCs w:val="80"/>
              <w:lang w:val="lv-LV"/>
            </w:rPr>
            <w:t xml:space="preserve"> </w:t>
          </w:r>
          <w:r w:rsidR="00376C94" w:rsidRPr="00A9058D">
            <w:rPr>
              <w:szCs w:val="80"/>
              <w:lang w:val="lv-LV"/>
            </w:rPr>
            <w:t xml:space="preserve">no valsts budžeta </w:t>
          </w:r>
        </w:p>
        <w:tbl>
          <w:tblPr>
            <w:tblStyle w:val="TableGrid"/>
            <w:tblpPr w:leftFromText="181" w:rightFromText="181" w:vertAnchor="page" w:horzAnchor="page" w:tblpX="1095" w:tblpY="7586"/>
            <w:tblOverlap w:val="never"/>
            <w:tblW w:w="3878" w:type="pct"/>
            <w:tblCellMar>
              <w:left w:w="227" w:type="dxa"/>
            </w:tblCellMar>
            <w:tblLook w:val="04A0" w:firstRow="1" w:lastRow="0" w:firstColumn="1" w:lastColumn="0" w:noHBand="0" w:noVBand="1"/>
          </w:tblPr>
          <w:tblGrid>
            <w:gridCol w:w="5954"/>
          </w:tblGrid>
          <w:tr w:rsidR="009E1163" w:rsidRPr="00D736C1" w14:paraId="19B54407" w14:textId="77777777" w:rsidTr="00A9058D">
            <w:trPr>
              <w:trHeight w:val="215"/>
            </w:trPr>
            <w:tc>
              <w:tcPr>
                <w:tcW w:w="5953" w:type="dxa"/>
                <w:tcBorders>
                  <w:top w:val="dotted" w:sz="8" w:space="0" w:color="602320" w:themeColor="text2"/>
                  <w:left w:val="dotted" w:sz="8" w:space="0" w:color="602320" w:themeColor="text2"/>
                  <w:bottom w:val="nil"/>
                  <w:right w:val="nil"/>
                </w:tcBorders>
              </w:tcPr>
              <w:p w14:paraId="1FABB7C2" w14:textId="77777777" w:rsidR="009E1163" w:rsidRPr="00D736C1" w:rsidRDefault="009E1163" w:rsidP="00E03235">
                <w:pPr>
                  <w:rPr>
                    <w:rFonts w:asciiTheme="majorHAnsi" w:hAnsiTheme="majorHAnsi"/>
                    <w:highlight w:val="yellow"/>
                    <w:lang w:val="lv-LV"/>
                  </w:rPr>
                </w:pPr>
              </w:p>
            </w:tc>
          </w:tr>
          <w:tr w:rsidR="009E1163" w:rsidRPr="00D736C1" w14:paraId="12B30008" w14:textId="77777777" w:rsidTr="00A9058D">
            <w:trPr>
              <w:trHeight w:val="1349"/>
            </w:trPr>
            <w:tc>
              <w:tcPr>
                <w:tcW w:w="5953" w:type="dxa"/>
                <w:tcBorders>
                  <w:top w:val="nil"/>
                  <w:left w:val="nil"/>
                  <w:bottom w:val="nil"/>
                  <w:right w:val="nil"/>
                </w:tcBorders>
              </w:tcPr>
              <w:p w14:paraId="396BA5F8" w14:textId="73427E62" w:rsidR="009E1163" w:rsidRPr="00A9058D" w:rsidRDefault="00A815C8" w:rsidP="00E03235">
                <w:pPr>
                  <w:pStyle w:val="BodyText"/>
                  <w:rPr>
                    <w:rStyle w:val="Emphasis"/>
                    <w:rFonts w:asciiTheme="majorHAnsi" w:hAnsiTheme="majorHAnsi"/>
                    <w:sz w:val="19"/>
                    <w:szCs w:val="19"/>
                    <w:lang w:val="lv-LV"/>
                  </w:rPr>
                </w:pPr>
                <w:bookmarkStart w:id="1" w:name="_Hlk57724158"/>
                <w:bookmarkStart w:id="2" w:name="_Hlk34666341"/>
                <w:r w:rsidRPr="00A9058D">
                  <w:rPr>
                    <w:rStyle w:val="Emphasis"/>
                    <w:rFonts w:asciiTheme="majorHAnsi" w:hAnsiTheme="majorHAnsi"/>
                    <w:sz w:val="19"/>
                    <w:szCs w:val="19"/>
                    <w:lang w:val="lv-LV"/>
                  </w:rPr>
                  <w:t>Latvij</w:t>
                </w:r>
                <w:r w:rsidR="00A9058D" w:rsidRPr="00A9058D">
                  <w:rPr>
                    <w:rStyle w:val="Emphasis"/>
                    <w:rFonts w:asciiTheme="majorHAnsi" w:hAnsiTheme="majorHAnsi"/>
                    <w:sz w:val="19"/>
                    <w:szCs w:val="19"/>
                    <w:lang w:val="lv-LV"/>
                  </w:rPr>
                  <w:t>as</w:t>
                </w:r>
                <w:r w:rsidRPr="00A9058D">
                  <w:rPr>
                    <w:rStyle w:val="Emphasis"/>
                    <w:rFonts w:asciiTheme="majorHAnsi" w:hAnsiTheme="majorHAnsi"/>
                    <w:sz w:val="19"/>
                    <w:szCs w:val="19"/>
                    <w:lang w:val="lv-LV"/>
                  </w:rPr>
                  <w:t xml:space="preserve"> </w:t>
                </w:r>
                <w:r w:rsidR="00A9058D" w:rsidRPr="00A9058D">
                  <w:rPr>
                    <w:rStyle w:val="Emphasis"/>
                    <w:rFonts w:asciiTheme="majorHAnsi" w:hAnsiTheme="majorHAnsi"/>
                    <w:sz w:val="19"/>
                    <w:szCs w:val="19"/>
                    <w:lang w:val="lv-LV"/>
                  </w:rPr>
                  <w:t>Mediju ētikas padome</w:t>
                </w:r>
                <w:r w:rsidR="00A9058D">
                  <w:rPr>
                    <w:rStyle w:val="Emphasis"/>
                    <w:rFonts w:asciiTheme="majorHAnsi" w:hAnsiTheme="majorHAnsi"/>
                    <w:sz w:val="19"/>
                    <w:szCs w:val="19"/>
                    <w:lang w:val="lv-LV"/>
                  </w:rPr>
                  <w:t>i</w:t>
                </w:r>
                <w:r w:rsidR="005D17B9" w:rsidRPr="00A9058D">
                  <w:rPr>
                    <w:rStyle w:val="Emphasis"/>
                    <w:rFonts w:asciiTheme="majorHAnsi" w:hAnsiTheme="majorHAnsi"/>
                    <w:sz w:val="19"/>
                    <w:szCs w:val="19"/>
                    <w:lang w:val="lv-LV"/>
                  </w:rPr>
                  <w:t>,</w:t>
                </w:r>
              </w:p>
              <w:p w14:paraId="14A2D68C" w14:textId="430E46A2" w:rsidR="005D17B9" w:rsidRPr="00A9058D" w:rsidRDefault="005D17B9" w:rsidP="00E03235">
                <w:pPr>
                  <w:pStyle w:val="BodyText"/>
                  <w:rPr>
                    <w:rStyle w:val="Emphasis"/>
                    <w:rFonts w:asciiTheme="majorHAnsi" w:hAnsiTheme="majorHAnsi"/>
                    <w:sz w:val="19"/>
                    <w:szCs w:val="19"/>
                    <w:lang w:val="lv-LV"/>
                  </w:rPr>
                </w:pPr>
                <w:r w:rsidRPr="00A9058D">
                  <w:rPr>
                    <w:rStyle w:val="Emphasis"/>
                    <w:rFonts w:asciiTheme="majorHAnsi" w:hAnsiTheme="majorHAnsi"/>
                    <w:sz w:val="19"/>
                    <w:szCs w:val="19"/>
                    <w:lang w:val="lv-LV"/>
                  </w:rPr>
                  <w:t>Reģistrācijas numurs:</w:t>
                </w:r>
                <w:r w:rsidR="00A815C8" w:rsidRPr="00A9058D">
                  <w:rPr>
                    <w:rStyle w:val="Emphasis"/>
                    <w:rFonts w:asciiTheme="majorHAnsi" w:hAnsiTheme="majorHAnsi"/>
                    <w:sz w:val="19"/>
                    <w:szCs w:val="19"/>
                    <w:lang w:val="lv-LV"/>
                  </w:rPr>
                  <w:t xml:space="preserve"> </w:t>
                </w:r>
                <w:bookmarkStart w:id="3" w:name="_Hlk57725542"/>
                <w:r w:rsidR="00A9058D" w:rsidRPr="00A9058D">
                  <w:rPr>
                    <w:rStyle w:val="Emphasis"/>
                    <w:rFonts w:asciiTheme="majorHAnsi" w:hAnsiTheme="majorHAnsi"/>
                    <w:sz w:val="19"/>
                    <w:szCs w:val="19"/>
                    <w:lang w:val="lv-LV"/>
                  </w:rPr>
                  <w:t>40008283017</w:t>
                </w:r>
                <w:bookmarkEnd w:id="3"/>
                <w:r w:rsidRPr="00A9058D">
                  <w:rPr>
                    <w:rStyle w:val="Emphasis"/>
                    <w:rFonts w:asciiTheme="majorHAnsi" w:hAnsiTheme="majorHAnsi"/>
                    <w:sz w:val="19"/>
                    <w:szCs w:val="19"/>
                    <w:lang w:val="lv-LV"/>
                  </w:rPr>
                  <w:t>,</w:t>
                </w:r>
              </w:p>
              <w:p w14:paraId="5E921449" w14:textId="306AF100" w:rsidR="00F56705" w:rsidRPr="00A9058D" w:rsidRDefault="005D17B9" w:rsidP="00E03235">
                <w:pPr>
                  <w:pStyle w:val="BodyText"/>
                  <w:rPr>
                    <w:rStyle w:val="Emphasis"/>
                    <w:rFonts w:asciiTheme="majorHAnsi" w:hAnsiTheme="majorHAnsi"/>
                    <w:sz w:val="19"/>
                    <w:szCs w:val="19"/>
                    <w:lang w:val="lv-LV"/>
                  </w:rPr>
                </w:pPr>
                <w:r w:rsidRPr="00A9058D">
                  <w:rPr>
                    <w:rStyle w:val="Emphasis"/>
                    <w:rFonts w:asciiTheme="majorHAnsi" w:hAnsiTheme="majorHAnsi"/>
                    <w:sz w:val="19"/>
                    <w:szCs w:val="19"/>
                    <w:lang w:val="lv-LV"/>
                  </w:rPr>
                  <w:t xml:space="preserve">Juridiskā adrese: </w:t>
                </w:r>
                <w:r w:rsidR="00A9058D" w:rsidRPr="00A9058D">
                  <w:rPr>
                    <w:rStyle w:val="Emphasis"/>
                    <w:rFonts w:asciiTheme="majorHAnsi" w:hAnsiTheme="majorHAnsi"/>
                    <w:sz w:val="19"/>
                    <w:szCs w:val="19"/>
                    <w:lang w:val="lv-LV"/>
                  </w:rPr>
                  <w:t>Dzirnavu iela</w:t>
                </w:r>
                <w:r w:rsidR="00A815C8" w:rsidRPr="00A9058D">
                  <w:rPr>
                    <w:rStyle w:val="Emphasis"/>
                    <w:sz w:val="19"/>
                    <w:szCs w:val="19"/>
                  </w:rPr>
                  <w:t xml:space="preserve"> </w:t>
                </w:r>
                <w:r w:rsidR="00A9058D" w:rsidRPr="00A9058D">
                  <w:rPr>
                    <w:rStyle w:val="Emphasis"/>
                    <w:sz w:val="19"/>
                    <w:szCs w:val="19"/>
                  </w:rPr>
                  <w:t>21</w:t>
                </w:r>
                <w:r w:rsidRPr="00A9058D">
                  <w:rPr>
                    <w:rStyle w:val="Emphasis"/>
                    <w:rFonts w:asciiTheme="majorHAnsi" w:hAnsiTheme="majorHAnsi"/>
                    <w:sz w:val="19"/>
                    <w:szCs w:val="19"/>
                    <w:lang w:val="lv-LV"/>
                  </w:rPr>
                  <w:t xml:space="preserve">, </w:t>
                </w:r>
              </w:p>
              <w:p w14:paraId="10B50905" w14:textId="1BECAF0F" w:rsidR="005D17B9" w:rsidRPr="00A9058D" w:rsidRDefault="005D17B9" w:rsidP="00E03235">
                <w:pPr>
                  <w:pStyle w:val="BodyText"/>
                  <w:rPr>
                    <w:rStyle w:val="Emphasis"/>
                    <w:rFonts w:asciiTheme="majorHAnsi" w:hAnsiTheme="majorHAnsi"/>
                    <w:sz w:val="19"/>
                    <w:szCs w:val="19"/>
                    <w:lang w:val="lv-LV"/>
                  </w:rPr>
                </w:pPr>
                <w:r w:rsidRPr="00A9058D">
                  <w:rPr>
                    <w:rStyle w:val="Emphasis"/>
                    <w:rFonts w:asciiTheme="majorHAnsi" w:hAnsiTheme="majorHAnsi"/>
                    <w:sz w:val="19"/>
                    <w:szCs w:val="19"/>
                    <w:lang w:val="lv-LV"/>
                  </w:rPr>
                  <w:t>Rīga, LV-10</w:t>
                </w:r>
                <w:r w:rsidR="00A9058D" w:rsidRPr="00A9058D">
                  <w:rPr>
                    <w:rStyle w:val="Emphasis"/>
                    <w:rFonts w:asciiTheme="majorHAnsi" w:hAnsiTheme="majorHAnsi"/>
                    <w:sz w:val="19"/>
                    <w:szCs w:val="19"/>
                    <w:lang w:val="lv-LV"/>
                  </w:rPr>
                  <w:t>1</w:t>
                </w:r>
                <w:r w:rsidR="00D64AD6" w:rsidRPr="00A9058D">
                  <w:rPr>
                    <w:rStyle w:val="Emphasis"/>
                    <w:rFonts w:asciiTheme="majorHAnsi" w:hAnsiTheme="majorHAnsi"/>
                    <w:sz w:val="19"/>
                    <w:szCs w:val="19"/>
                    <w:lang w:val="lv-LV"/>
                  </w:rPr>
                  <w:t>0</w:t>
                </w:r>
                <w:r w:rsidRPr="00A9058D">
                  <w:rPr>
                    <w:rStyle w:val="Emphasis"/>
                    <w:rFonts w:asciiTheme="majorHAnsi" w:hAnsiTheme="majorHAnsi"/>
                    <w:sz w:val="19"/>
                    <w:szCs w:val="19"/>
                    <w:lang w:val="lv-LV"/>
                  </w:rPr>
                  <w:t xml:space="preserve">, </w:t>
                </w:r>
              </w:p>
              <w:p w14:paraId="11E60E28" w14:textId="570A6009" w:rsidR="005D17B9" w:rsidRDefault="005D17B9" w:rsidP="00E03235">
                <w:pPr>
                  <w:pStyle w:val="BodyText"/>
                  <w:spacing w:after="120"/>
                  <w:rPr>
                    <w:rStyle w:val="Emphasis"/>
                    <w:rFonts w:asciiTheme="majorHAnsi" w:hAnsiTheme="majorHAnsi"/>
                    <w:sz w:val="19"/>
                    <w:szCs w:val="19"/>
                    <w:lang w:val="lv-LV"/>
                  </w:rPr>
                </w:pPr>
                <w:r w:rsidRPr="00A9058D">
                  <w:rPr>
                    <w:rStyle w:val="Emphasis"/>
                    <w:rFonts w:asciiTheme="majorHAnsi" w:hAnsiTheme="majorHAnsi"/>
                    <w:sz w:val="19"/>
                    <w:szCs w:val="19"/>
                    <w:lang w:val="lv-LV"/>
                  </w:rPr>
                  <w:t>Latvija</w:t>
                </w:r>
              </w:p>
              <w:bookmarkEnd w:id="1"/>
              <w:p w14:paraId="44130E77" w14:textId="77777777" w:rsidR="006E631F" w:rsidRPr="00A9058D" w:rsidRDefault="006E631F" w:rsidP="00E03235">
                <w:pPr>
                  <w:pStyle w:val="BodyText"/>
                  <w:spacing w:after="120"/>
                  <w:rPr>
                    <w:rStyle w:val="Emphasis"/>
                    <w:rFonts w:asciiTheme="majorHAnsi" w:hAnsiTheme="majorHAnsi"/>
                    <w:sz w:val="19"/>
                    <w:szCs w:val="19"/>
                    <w:lang w:val="lv-LV"/>
                  </w:rPr>
                </w:pPr>
              </w:p>
              <w:bookmarkEnd w:id="2"/>
              <w:p w14:paraId="71CAF8AD" w14:textId="13D06919" w:rsidR="009E1163" w:rsidRPr="00A815C8" w:rsidRDefault="005D17B9" w:rsidP="00E03235">
                <w:pPr>
                  <w:pStyle w:val="BodyText"/>
                  <w:rPr>
                    <w:rFonts w:asciiTheme="majorHAnsi" w:hAnsiTheme="majorHAnsi"/>
                    <w:lang w:val="lv-LV"/>
                  </w:rPr>
                </w:pPr>
                <w:r w:rsidRPr="00A9058D">
                  <w:rPr>
                    <w:rStyle w:val="Emphasis"/>
                    <w:rFonts w:asciiTheme="majorHAnsi" w:hAnsiTheme="majorHAnsi"/>
                    <w:sz w:val="19"/>
                    <w:szCs w:val="19"/>
                    <w:lang w:val="lv-LV"/>
                  </w:rPr>
                  <w:t xml:space="preserve">2020.gada </w:t>
                </w:r>
                <w:r w:rsidR="00A9058D" w:rsidRPr="00A9058D">
                  <w:rPr>
                    <w:rStyle w:val="Emphasis"/>
                    <w:rFonts w:asciiTheme="majorHAnsi" w:hAnsiTheme="majorHAnsi"/>
                    <w:sz w:val="19"/>
                    <w:szCs w:val="19"/>
                    <w:lang w:val="lv-LV"/>
                  </w:rPr>
                  <w:t>1</w:t>
                </w:r>
                <w:r w:rsidR="00D91FDD">
                  <w:rPr>
                    <w:rStyle w:val="Emphasis"/>
                    <w:rFonts w:asciiTheme="majorHAnsi" w:hAnsiTheme="majorHAnsi"/>
                    <w:sz w:val="19"/>
                    <w:szCs w:val="19"/>
                    <w:lang w:val="lv-LV"/>
                  </w:rPr>
                  <w:t>7</w:t>
                </w:r>
                <w:r w:rsidR="00D64AD6" w:rsidRPr="00A9058D">
                  <w:rPr>
                    <w:rStyle w:val="Emphasis"/>
                    <w:rFonts w:asciiTheme="majorHAnsi" w:hAnsiTheme="majorHAnsi"/>
                    <w:sz w:val="19"/>
                    <w:szCs w:val="19"/>
                    <w:lang w:val="lv-LV"/>
                  </w:rPr>
                  <w:t>.</w:t>
                </w:r>
                <w:r w:rsidR="00A9058D" w:rsidRPr="00A9058D">
                  <w:rPr>
                    <w:rStyle w:val="Emphasis"/>
                    <w:rFonts w:asciiTheme="majorHAnsi" w:hAnsiTheme="majorHAnsi"/>
                    <w:sz w:val="19"/>
                    <w:szCs w:val="19"/>
                    <w:lang w:val="lv-LV"/>
                  </w:rPr>
                  <w:t>decembrī</w:t>
                </w:r>
              </w:p>
            </w:tc>
          </w:tr>
        </w:tbl>
        <w:p w14:paraId="7814FE0E" w14:textId="77777777" w:rsidR="009E1163" w:rsidRPr="00D736C1" w:rsidRDefault="009E1163">
          <w:pPr>
            <w:pStyle w:val="BodyText"/>
            <w:rPr>
              <w:rFonts w:asciiTheme="majorHAnsi" w:hAnsiTheme="majorHAnsi"/>
              <w:highlight w:val="yellow"/>
              <w:lang w:val="lv-LV"/>
            </w:rPr>
          </w:pPr>
        </w:p>
        <w:p w14:paraId="58636668" w14:textId="77777777" w:rsidR="009E1163" w:rsidRPr="00D736C1" w:rsidRDefault="00115F74">
          <w:pPr>
            <w:rPr>
              <w:rFonts w:asciiTheme="majorHAnsi" w:hAnsiTheme="majorHAnsi"/>
              <w:highlight w:val="yellow"/>
              <w:lang w:val="lv-LV"/>
            </w:rPr>
            <w:sectPr w:rsidR="009E1163" w:rsidRPr="00D736C1">
              <w:headerReference w:type="even" r:id="rId8"/>
              <w:headerReference w:type="default" r:id="rId9"/>
              <w:footerReference w:type="even" r:id="rId10"/>
              <w:footerReference w:type="default" r:id="rId11"/>
              <w:footerReference w:type="first" r:id="rId12"/>
              <w:pgSz w:w="11906" w:h="16838" w:code="9"/>
              <w:pgMar w:top="2313" w:right="1021" w:bottom="1474" w:left="3544" w:header="567" w:footer="567" w:gutter="0"/>
              <w:cols w:space="708"/>
              <w:titlePg/>
              <w:docGrid w:linePitch="360"/>
            </w:sectPr>
          </w:pPr>
        </w:p>
      </w:sdtContent>
    </w:sdt>
    <w:p w14:paraId="5BD209D9" w14:textId="29BADB5E" w:rsidR="00D64AD6" w:rsidRPr="00B333F0" w:rsidRDefault="00A815C8" w:rsidP="005D17B9">
      <w:pPr>
        <w:spacing w:after="0"/>
        <w:rPr>
          <w:rFonts w:asciiTheme="majorHAnsi" w:hAnsiTheme="majorHAnsi"/>
          <w:b/>
          <w:lang w:val="lv-LV"/>
        </w:rPr>
      </w:pPr>
      <w:r w:rsidRPr="00B333F0">
        <w:rPr>
          <w:rFonts w:asciiTheme="majorHAnsi" w:hAnsiTheme="majorHAnsi"/>
          <w:b/>
          <w:lang w:val="lv-LV"/>
        </w:rPr>
        <w:lastRenderedPageBreak/>
        <w:t xml:space="preserve">Latvijas </w:t>
      </w:r>
      <w:r w:rsidR="00B333F0" w:rsidRPr="00B333F0">
        <w:rPr>
          <w:rFonts w:asciiTheme="majorHAnsi" w:hAnsiTheme="majorHAnsi"/>
          <w:b/>
          <w:lang w:val="lv-LV"/>
        </w:rPr>
        <w:t>Mediju ētikas padomei</w:t>
      </w:r>
    </w:p>
    <w:p w14:paraId="53B9FADB" w14:textId="7C1C21A3" w:rsidR="005D17B9" w:rsidRPr="00B333F0" w:rsidRDefault="005D17B9" w:rsidP="005D17B9">
      <w:pPr>
        <w:spacing w:after="0"/>
        <w:rPr>
          <w:rFonts w:asciiTheme="majorHAnsi" w:hAnsiTheme="majorHAnsi"/>
          <w:bCs/>
          <w:lang w:val="lv-LV"/>
        </w:rPr>
      </w:pPr>
      <w:r w:rsidRPr="00B333F0">
        <w:rPr>
          <w:rFonts w:asciiTheme="majorHAnsi" w:hAnsiTheme="majorHAnsi"/>
          <w:bCs/>
          <w:lang w:val="lv-LV"/>
        </w:rPr>
        <w:t xml:space="preserve">Reģistrācijas numurs: </w:t>
      </w:r>
      <w:r w:rsidR="00B333F0" w:rsidRPr="00B333F0">
        <w:rPr>
          <w:rStyle w:val="Emphasis"/>
          <w:rFonts w:asciiTheme="majorHAnsi" w:hAnsiTheme="majorHAnsi"/>
          <w:sz w:val="19"/>
          <w:szCs w:val="19"/>
          <w:lang w:val="lv-LV"/>
        </w:rPr>
        <w:t>40008283017</w:t>
      </w:r>
      <w:r w:rsidRPr="00B333F0">
        <w:rPr>
          <w:rFonts w:asciiTheme="majorHAnsi" w:hAnsiTheme="majorHAnsi"/>
          <w:bCs/>
          <w:lang w:val="lv-LV"/>
        </w:rPr>
        <w:t>,</w:t>
      </w:r>
    </w:p>
    <w:p w14:paraId="39AA78F2" w14:textId="106FF78E" w:rsidR="00D64AD6" w:rsidRPr="00B333F0" w:rsidRDefault="005D17B9" w:rsidP="00D64AD6">
      <w:pPr>
        <w:spacing w:after="0"/>
        <w:rPr>
          <w:rFonts w:asciiTheme="majorHAnsi" w:hAnsiTheme="majorHAnsi"/>
          <w:bCs/>
          <w:lang w:val="lv-LV"/>
        </w:rPr>
      </w:pPr>
      <w:r w:rsidRPr="00B333F0">
        <w:rPr>
          <w:rFonts w:asciiTheme="majorHAnsi" w:hAnsiTheme="majorHAnsi"/>
          <w:bCs/>
          <w:lang w:val="lv-LV"/>
        </w:rPr>
        <w:t>Juridiskā adrese:</w:t>
      </w:r>
      <w:r w:rsidR="00F56705" w:rsidRPr="00B333F0">
        <w:rPr>
          <w:rFonts w:asciiTheme="majorHAnsi" w:hAnsiTheme="majorHAnsi"/>
          <w:bCs/>
          <w:lang w:val="lv-LV"/>
        </w:rPr>
        <w:t xml:space="preserve"> </w:t>
      </w:r>
      <w:r w:rsidR="00B333F0" w:rsidRPr="00B333F0">
        <w:rPr>
          <w:rFonts w:asciiTheme="majorHAnsi" w:hAnsiTheme="majorHAnsi"/>
          <w:bCs/>
          <w:lang w:val="lv-LV"/>
        </w:rPr>
        <w:t>Dzirnavu</w:t>
      </w:r>
      <w:r w:rsidR="00A815C8" w:rsidRPr="00B333F0">
        <w:rPr>
          <w:rFonts w:asciiTheme="majorHAnsi" w:hAnsiTheme="majorHAnsi"/>
          <w:bCs/>
          <w:lang w:val="lv-LV"/>
        </w:rPr>
        <w:t xml:space="preserve"> </w:t>
      </w:r>
      <w:r w:rsidR="00B333F0" w:rsidRPr="00B333F0">
        <w:rPr>
          <w:rFonts w:asciiTheme="majorHAnsi" w:hAnsiTheme="majorHAnsi"/>
          <w:bCs/>
          <w:lang w:val="lv-LV"/>
        </w:rPr>
        <w:t>iela 21</w:t>
      </w:r>
      <w:r w:rsidR="00D64AD6" w:rsidRPr="00B333F0">
        <w:rPr>
          <w:rFonts w:asciiTheme="majorHAnsi" w:hAnsiTheme="majorHAnsi"/>
          <w:bCs/>
          <w:lang w:val="lv-LV"/>
        </w:rPr>
        <w:t xml:space="preserve">, </w:t>
      </w:r>
    </w:p>
    <w:p w14:paraId="5BEEA3B2" w14:textId="5F6E2D22" w:rsidR="00D64AD6" w:rsidRPr="00B333F0" w:rsidRDefault="00D64AD6" w:rsidP="00D64AD6">
      <w:pPr>
        <w:spacing w:after="0"/>
        <w:rPr>
          <w:rFonts w:asciiTheme="majorHAnsi" w:hAnsiTheme="majorHAnsi"/>
          <w:bCs/>
          <w:lang w:val="lv-LV"/>
        </w:rPr>
      </w:pPr>
      <w:r w:rsidRPr="00B333F0">
        <w:rPr>
          <w:rFonts w:asciiTheme="majorHAnsi" w:hAnsiTheme="majorHAnsi"/>
          <w:bCs/>
          <w:lang w:val="lv-LV"/>
        </w:rPr>
        <w:t>Rīga, LV-10</w:t>
      </w:r>
      <w:r w:rsidR="00B333F0" w:rsidRPr="00B333F0">
        <w:rPr>
          <w:rFonts w:asciiTheme="majorHAnsi" w:hAnsiTheme="majorHAnsi"/>
          <w:bCs/>
          <w:lang w:val="lv-LV"/>
        </w:rPr>
        <w:t>1</w:t>
      </w:r>
      <w:r w:rsidRPr="00B333F0">
        <w:rPr>
          <w:rFonts w:asciiTheme="majorHAnsi" w:hAnsiTheme="majorHAnsi"/>
          <w:bCs/>
          <w:lang w:val="lv-LV"/>
        </w:rPr>
        <w:t xml:space="preserve">0, </w:t>
      </w:r>
    </w:p>
    <w:p w14:paraId="5F110F80" w14:textId="77777777" w:rsidR="00D64AD6" w:rsidRPr="00B333F0" w:rsidRDefault="00D64AD6" w:rsidP="00D64AD6">
      <w:pPr>
        <w:rPr>
          <w:rFonts w:asciiTheme="majorHAnsi" w:hAnsiTheme="majorHAnsi"/>
          <w:bCs/>
          <w:lang w:val="lv-LV"/>
        </w:rPr>
      </w:pPr>
      <w:r w:rsidRPr="00B333F0">
        <w:rPr>
          <w:rFonts w:asciiTheme="majorHAnsi" w:hAnsiTheme="majorHAnsi"/>
          <w:bCs/>
          <w:lang w:val="lv-LV"/>
        </w:rPr>
        <w:t>Latvija</w:t>
      </w:r>
    </w:p>
    <w:p w14:paraId="731BA03C" w14:textId="4F7E016F" w:rsidR="005D17B9" w:rsidRPr="00A815C8" w:rsidRDefault="005D17B9" w:rsidP="00D64AD6">
      <w:pPr>
        <w:rPr>
          <w:rFonts w:asciiTheme="majorHAnsi" w:hAnsiTheme="majorHAnsi"/>
          <w:lang w:val="lv-LV"/>
        </w:rPr>
      </w:pPr>
      <w:r w:rsidRPr="00B333F0">
        <w:rPr>
          <w:rFonts w:asciiTheme="majorHAnsi" w:hAnsiTheme="majorHAnsi"/>
          <w:lang w:val="lv-LV"/>
        </w:rPr>
        <w:t xml:space="preserve">Rīgā, 2020.gada </w:t>
      </w:r>
      <w:r w:rsidR="00B333F0" w:rsidRPr="00B333F0">
        <w:rPr>
          <w:rFonts w:asciiTheme="majorHAnsi" w:hAnsiTheme="majorHAnsi"/>
          <w:lang w:val="lv-LV"/>
        </w:rPr>
        <w:t>15.decembrī</w:t>
      </w:r>
    </w:p>
    <w:p w14:paraId="58FF553B" w14:textId="240B7E90" w:rsidR="005D17B9" w:rsidRPr="00D64AD6" w:rsidRDefault="005D17B9" w:rsidP="00A37568">
      <w:pPr>
        <w:spacing w:after="120"/>
        <w:jc w:val="both"/>
        <w:rPr>
          <w:rFonts w:asciiTheme="majorHAnsi" w:hAnsiTheme="majorHAnsi"/>
          <w:lang w:val="lv-LV"/>
        </w:rPr>
      </w:pPr>
      <w:r w:rsidRPr="00D64AD6">
        <w:rPr>
          <w:rFonts w:asciiTheme="majorHAnsi" w:hAnsiTheme="majorHAnsi"/>
          <w:lang w:val="lv-LV"/>
        </w:rPr>
        <w:t xml:space="preserve">Vēlamies pateikties par iespēju strādāt ar </w:t>
      </w:r>
      <w:r w:rsidR="00257EFB">
        <w:rPr>
          <w:rFonts w:asciiTheme="majorHAnsi" w:hAnsiTheme="majorHAnsi"/>
          <w:lang w:val="lv-LV"/>
        </w:rPr>
        <w:t xml:space="preserve">Jums </w:t>
      </w:r>
      <w:r w:rsidRPr="00D64AD6">
        <w:rPr>
          <w:rFonts w:asciiTheme="majorHAnsi" w:hAnsiTheme="majorHAnsi"/>
          <w:lang w:val="lv-LV"/>
        </w:rPr>
        <w:t>un izteikt pateicību par atsaucību mūsu sadarbības procesa nodrošināšanā.</w:t>
      </w:r>
    </w:p>
    <w:p w14:paraId="07D3CFCB" w14:textId="7038ADBE" w:rsidR="00B333F0" w:rsidRDefault="005D17B9" w:rsidP="007F6577">
      <w:pPr>
        <w:spacing w:after="120"/>
        <w:jc w:val="both"/>
        <w:rPr>
          <w:rFonts w:asciiTheme="majorHAnsi" w:hAnsiTheme="majorHAnsi"/>
          <w:lang w:val="lv-LV"/>
        </w:rPr>
      </w:pPr>
      <w:r w:rsidRPr="007F6577">
        <w:rPr>
          <w:rFonts w:asciiTheme="majorHAnsi" w:hAnsiTheme="majorHAnsi"/>
          <w:lang w:val="lv-LV"/>
        </w:rPr>
        <w:t xml:space="preserve">Ar šo iesniedzam Jums mūsu </w:t>
      </w:r>
      <w:r w:rsidR="00691CB2" w:rsidRPr="007F6577">
        <w:rPr>
          <w:rFonts w:asciiTheme="majorHAnsi" w:hAnsiTheme="majorHAnsi"/>
          <w:lang w:val="lv-LV"/>
        </w:rPr>
        <w:t>darba</w:t>
      </w:r>
      <w:r w:rsidRPr="007F6577">
        <w:rPr>
          <w:rFonts w:asciiTheme="majorHAnsi" w:hAnsiTheme="majorHAnsi"/>
          <w:lang w:val="lv-LV"/>
        </w:rPr>
        <w:t xml:space="preserve"> rezultātu –</w:t>
      </w:r>
      <w:r w:rsidR="00B333F0">
        <w:rPr>
          <w:rFonts w:asciiTheme="majorHAnsi" w:hAnsiTheme="majorHAnsi"/>
          <w:lang w:val="lv-LV"/>
        </w:rPr>
        <w:t xml:space="preserve"> Pētījumu par mediju finansēšanu, tā sasaisti ar mediju ētiku un neatkarību (turpmāk tekstā – ‘’</w:t>
      </w:r>
      <w:r w:rsidR="00B333F0" w:rsidRPr="00B333F0">
        <w:rPr>
          <w:rFonts w:asciiTheme="majorHAnsi" w:hAnsiTheme="majorHAnsi"/>
          <w:b/>
          <w:bCs/>
          <w:lang w:val="lv-LV"/>
        </w:rPr>
        <w:t>Pētījums</w:t>
      </w:r>
      <w:r w:rsidR="00B333F0">
        <w:rPr>
          <w:rFonts w:asciiTheme="majorHAnsi" w:hAnsiTheme="majorHAnsi"/>
          <w:lang w:val="lv-LV"/>
        </w:rPr>
        <w:t xml:space="preserve">’’). Pētījumā apskatīti mediju finansēšanas vispārīgie aspekti, kā arī Latvijas un ārvalstu pieredzes analīze. </w:t>
      </w:r>
    </w:p>
    <w:p w14:paraId="7B47CD42" w14:textId="1A277F39" w:rsidR="005D17B9" w:rsidRDefault="005D17B9" w:rsidP="00A37568">
      <w:pPr>
        <w:spacing w:after="120"/>
        <w:jc w:val="both"/>
        <w:rPr>
          <w:rFonts w:asciiTheme="majorHAnsi" w:hAnsiTheme="majorHAnsi"/>
          <w:lang w:val="lv-LV"/>
        </w:rPr>
      </w:pPr>
      <w:r w:rsidRPr="00044AC3">
        <w:rPr>
          <w:rFonts w:asciiTheme="majorHAnsi" w:hAnsiTheme="majorHAnsi"/>
          <w:lang w:val="lv-LV"/>
        </w:rPr>
        <w:t xml:space="preserve">Mūsu darbs tika veikts saskaņā ar </w:t>
      </w:r>
      <w:r w:rsidR="005C0881">
        <w:rPr>
          <w:rFonts w:asciiTheme="majorHAnsi" w:hAnsiTheme="majorHAnsi"/>
          <w:lang w:val="lv-LV"/>
        </w:rPr>
        <w:t>v</w:t>
      </w:r>
      <w:r w:rsidRPr="00044AC3">
        <w:rPr>
          <w:rFonts w:asciiTheme="majorHAnsi" w:hAnsiTheme="majorHAnsi"/>
          <w:lang w:val="lv-LV"/>
        </w:rPr>
        <w:t>ienošanos par juridisko palīdzību</w:t>
      </w:r>
      <w:r w:rsidR="009E1677" w:rsidRPr="00044AC3">
        <w:rPr>
          <w:rFonts w:asciiTheme="majorHAnsi" w:hAnsiTheme="majorHAnsi"/>
          <w:lang w:val="lv-LV"/>
        </w:rPr>
        <w:t xml:space="preserve"> (turpmāk tekstā – “</w:t>
      </w:r>
      <w:r w:rsidR="009E1677" w:rsidRPr="00044AC3">
        <w:rPr>
          <w:rFonts w:asciiTheme="majorHAnsi" w:hAnsiTheme="majorHAnsi"/>
          <w:b/>
          <w:bCs/>
          <w:lang w:val="lv-LV"/>
        </w:rPr>
        <w:t>Līgums</w:t>
      </w:r>
      <w:r w:rsidR="009E1677" w:rsidRPr="00044AC3">
        <w:rPr>
          <w:rFonts w:asciiTheme="majorHAnsi" w:hAnsiTheme="majorHAnsi"/>
          <w:lang w:val="lv-LV"/>
        </w:rPr>
        <w:t>”), kas noslēgta starp</w:t>
      </w:r>
      <w:r w:rsidR="00D02CA1">
        <w:rPr>
          <w:rFonts w:asciiTheme="majorHAnsi" w:hAnsiTheme="majorHAnsi"/>
          <w:lang w:val="lv-LV"/>
        </w:rPr>
        <w:t xml:space="preserve"> Latvijas Mediju ētikas padomi</w:t>
      </w:r>
      <w:r w:rsidR="000267F4">
        <w:rPr>
          <w:lang w:val="lv-LV"/>
        </w:rPr>
        <w:t xml:space="preserve">, reģistrācijas numurs: </w:t>
      </w:r>
      <w:r w:rsidR="000267F4" w:rsidRPr="00A9058D">
        <w:rPr>
          <w:rStyle w:val="Emphasis"/>
          <w:rFonts w:asciiTheme="majorHAnsi" w:hAnsiTheme="majorHAnsi"/>
          <w:sz w:val="19"/>
          <w:szCs w:val="19"/>
          <w:lang w:val="lv-LV"/>
        </w:rPr>
        <w:t>40008283017</w:t>
      </w:r>
      <w:r w:rsidR="000267F4">
        <w:rPr>
          <w:rStyle w:val="Emphasis"/>
          <w:rFonts w:asciiTheme="majorHAnsi" w:hAnsiTheme="majorHAnsi"/>
          <w:sz w:val="19"/>
          <w:szCs w:val="19"/>
          <w:lang w:val="lv-LV"/>
        </w:rPr>
        <w:t xml:space="preserve">; juridiskā adrese: Dzirnavu iela 21, Rīga, LV-1010, Latvija (turpmāk – </w:t>
      </w:r>
      <w:r w:rsidR="000267F4" w:rsidRPr="000267F4">
        <w:rPr>
          <w:rStyle w:val="Emphasis"/>
          <w:rFonts w:asciiTheme="majorHAnsi" w:hAnsiTheme="majorHAnsi"/>
          <w:i w:val="0"/>
          <w:iCs w:val="0"/>
          <w:sz w:val="19"/>
          <w:szCs w:val="19"/>
          <w:lang w:val="lv-LV"/>
        </w:rPr>
        <w:t>‘’</w:t>
      </w:r>
      <w:r w:rsidR="000267F4" w:rsidRPr="000267F4">
        <w:rPr>
          <w:rStyle w:val="Emphasis"/>
          <w:rFonts w:asciiTheme="majorHAnsi" w:hAnsiTheme="majorHAnsi"/>
          <w:b/>
          <w:bCs/>
          <w:i w:val="0"/>
          <w:iCs w:val="0"/>
          <w:sz w:val="19"/>
          <w:szCs w:val="19"/>
          <w:lang w:val="lv-LV"/>
        </w:rPr>
        <w:t>Latvijas</w:t>
      </w:r>
      <w:r w:rsidR="000267F4" w:rsidRPr="000267F4">
        <w:rPr>
          <w:rStyle w:val="Emphasis"/>
          <w:rFonts w:asciiTheme="majorHAnsi" w:hAnsiTheme="majorHAnsi"/>
          <w:i w:val="0"/>
          <w:iCs w:val="0"/>
          <w:sz w:val="19"/>
          <w:szCs w:val="19"/>
          <w:lang w:val="lv-LV"/>
        </w:rPr>
        <w:t xml:space="preserve"> </w:t>
      </w:r>
      <w:r w:rsidR="000267F4" w:rsidRPr="000267F4">
        <w:rPr>
          <w:rStyle w:val="Emphasis"/>
          <w:rFonts w:asciiTheme="majorHAnsi" w:hAnsiTheme="majorHAnsi"/>
          <w:b/>
          <w:bCs/>
          <w:i w:val="0"/>
          <w:iCs w:val="0"/>
          <w:sz w:val="19"/>
          <w:szCs w:val="19"/>
          <w:lang w:val="lv-LV"/>
        </w:rPr>
        <w:t>Mediju</w:t>
      </w:r>
      <w:r w:rsidR="000267F4" w:rsidRPr="000267F4">
        <w:rPr>
          <w:rStyle w:val="Emphasis"/>
          <w:rFonts w:asciiTheme="majorHAnsi" w:hAnsiTheme="majorHAnsi"/>
          <w:i w:val="0"/>
          <w:iCs w:val="0"/>
          <w:sz w:val="19"/>
          <w:szCs w:val="19"/>
          <w:lang w:val="lv-LV"/>
        </w:rPr>
        <w:t xml:space="preserve"> </w:t>
      </w:r>
      <w:r w:rsidR="000267F4" w:rsidRPr="000267F4">
        <w:rPr>
          <w:rStyle w:val="Emphasis"/>
          <w:rFonts w:asciiTheme="majorHAnsi" w:hAnsiTheme="majorHAnsi"/>
          <w:b/>
          <w:bCs/>
          <w:i w:val="0"/>
          <w:iCs w:val="0"/>
          <w:sz w:val="19"/>
          <w:szCs w:val="19"/>
          <w:lang w:val="lv-LV"/>
        </w:rPr>
        <w:t>ētikas</w:t>
      </w:r>
      <w:r w:rsidR="000267F4" w:rsidRPr="000267F4">
        <w:rPr>
          <w:rStyle w:val="Emphasis"/>
          <w:rFonts w:asciiTheme="majorHAnsi" w:hAnsiTheme="majorHAnsi"/>
          <w:i w:val="0"/>
          <w:iCs w:val="0"/>
          <w:sz w:val="19"/>
          <w:szCs w:val="19"/>
          <w:lang w:val="lv-LV"/>
        </w:rPr>
        <w:t xml:space="preserve"> </w:t>
      </w:r>
      <w:r w:rsidR="000267F4" w:rsidRPr="000267F4">
        <w:rPr>
          <w:rStyle w:val="Emphasis"/>
          <w:rFonts w:asciiTheme="majorHAnsi" w:hAnsiTheme="majorHAnsi"/>
          <w:b/>
          <w:bCs/>
          <w:i w:val="0"/>
          <w:iCs w:val="0"/>
          <w:sz w:val="19"/>
          <w:szCs w:val="19"/>
          <w:lang w:val="lv-LV"/>
        </w:rPr>
        <w:t>padome</w:t>
      </w:r>
      <w:r w:rsidR="000267F4" w:rsidRPr="000267F4">
        <w:rPr>
          <w:rStyle w:val="Emphasis"/>
          <w:rFonts w:asciiTheme="majorHAnsi" w:hAnsiTheme="majorHAnsi"/>
          <w:i w:val="0"/>
          <w:iCs w:val="0"/>
          <w:sz w:val="19"/>
          <w:szCs w:val="19"/>
          <w:lang w:val="lv-LV"/>
        </w:rPr>
        <w:t>’’</w:t>
      </w:r>
      <w:r w:rsidR="000267F4">
        <w:rPr>
          <w:rStyle w:val="Emphasis"/>
          <w:rFonts w:asciiTheme="majorHAnsi" w:hAnsiTheme="majorHAnsi"/>
          <w:sz w:val="19"/>
          <w:szCs w:val="19"/>
          <w:lang w:val="lv-LV"/>
        </w:rPr>
        <w:t xml:space="preserve">) </w:t>
      </w:r>
      <w:r w:rsidR="00392722">
        <w:rPr>
          <w:rFonts w:asciiTheme="majorHAnsi" w:hAnsiTheme="majorHAnsi"/>
          <w:lang w:val="lv-LV"/>
        </w:rPr>
        <w:t xml:space="preserve"> </w:t>
      </w:r>
      <w:r w:rsidR="009E1677" w:rsidRPr="00044AC3">
        <w:rPr>
          <w:rFonts w:asciiTheme="majorHAnsi" w:hAnsiTheme="majorHAnsi"/>
          <w:lang w:val="lv-LV"/>
        </w:rPr>
        <w:t>un zvērinātu advokātu biroju PricewaterhouseCoopers Legal (turpmāk tekstā arī - “</w:t>
      </w:r>
      <w:r w:rsidR="009E1677" w:rsidRPr="00044AC3">
        <w:rPr>
          <w:rFonts w:asciiTheme="majorHAnsi" w:hAnsiTheme="majorHAnsi"/>
          <w:b/>
          <w:lang w:val="lv-LV"/>
        </w:rPr>
        <w:t>PwC Legal</w:t>
      </w:r>
      <w:r w:rsidR="009E1677" w:rsidRPr="00044AC3">
        <w:rPr>
          <w:rFonts w:asciiTheme="majorHAnsi" w:hAnsiTheme="majorHAnsi"/>
          <w:lang w:val="lv-LV"/>
        </w:rPr>
        <w:t>”).</w:t>
      </w:r>
    </w:p>
    <w:p w14:paraId="6956461C" w14:textId="61605D2F" w:rsidR="00F91A47" w:rsidRPr="00044AC3" w:rsidRDefault="00F91A47" w:rsidP="00A37568">
      <w:pPr>
        <w:spacing w:after="120"/>
        <w:jc w:val="both"/>
        <w:rPr>
          <w:rFonts w:asciiTheme="majorHAnsi" w:hAnsiTheme="majorHAnsi"/>
          <w:lang w:val="lv-LV"/>
        </w:rPr>
      </w:pPr>
      <w:r>
        <w:rPr>
          <w:rFonts w:asciiTheme="majorHAnsi" w:hAnsiTheme="majorHAnsi"/>
          <w:lang w:val="lv-LV"/>
        </w:rPr>
        <w:t xml:space="preserve">Ceram, ka Pētījums palīdzēs Latvijas mediju neatkarības un izaugsmes stiprināšanai. </w:t>
      </w:r>
    </w:p>
    <w:p w14:paraId="0C9A4CC6" w14:textId="7ACB17FD" w:rsidR="005D17B9" w:rsidRPr="00044AC3" w:rsidRDefault="005D17B9" w:rsidP="005D17B9">
      <w:pPr>
        <w:jc w:val="both"/>
        <w:rPr>
          <w:rFonts w:asciiTheme="majorHAnsi" w:hAnsiTheme="majorHAnsi"/>
          <w:lang w:val="lv-LV"/>
        </w:rPr>
      </w:pPr>
      <w:r w:rsidRPr="00044AC3">
        <w:rPr>
          <w:rFonts w:asciiTheme="majorHAnsi" w:hAnsiTheme="majorHAnsi"/>
          <w:lang w:val="lv-LV"/>
        </w:rPr>
        <w:t xml:space="preserve">Ja Jums rodas kādi jautājumi par mūsu </w:t>
      </w:r>
      <w:r w:rsidR="00D221D0">
        <w:rPr>
          <w:rFonts w:asciiTheme="majorHAnsi" w:hAnsiTheme="majorHAnsi"/>
          <w:lang w:val="lv-LV"/>
        </w:rPr>
        <w:t>Pētījumu</w:t>
      </w:r>
      <w:r w:rsidRPr="00044AC3">
        <w:rPr>
          <w:rFonts w:asciiTheme="majorHAnsi" w:hAnsiTheme="majorHAnsi"/>
          <w:lang w:val="lv-LV"/>
        </w:rPr>
        <w:t>, priecāsimies uz tiem atbildēt.</w:t>
      </w:r>
    </w:p>
    <w:p w14:paraId="46E815F0" w14:textId="77777777" w:rsidR="005D17B9" w:rsidRPr="00044AC3" w:rsidRDefault="005D17B9" w:rsidP="00991111">
      <w:pPr>
        <w:rPr>
          <w:rFonts w:asciiTheme="majorHAnsi" w:hAnsiTheme="majorHAnsi"/>
          <w:bCs/>
          <w:lang w:val="lv-LV"/>
        </w:rPr>
      </w:pPr>
      <w:r w:rsidRPr="00044AC3">
        <w:rPr>
          <w:rFonts w:asciiTheme="majorHAnsi" w:hAnsiTheme="majorHAnsi"/>
          <w:bCs/>
          <w:lang w:val="lv-LV"/>
        </w:rPr>
        <w:t>Ar cieņu,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D17B9" w:rsidRPr="00D736C1" w14:paraId="6870EB39" w14:textId="17D70541" w:rsidTr="00C714FB">
        <w:tc>
          <w:tcPr>
            <w:tcW w:w="4927" w:type="dxa"/>
          </w:tcPr>
          <w:p w14:paraId="4DD00BCD" w14:textId="10BED1B6" w:rsidR="005D17B9" w:rsidRPr="001C47D0" w:rsidRDefault="005D17B9" w:rsidP="007A098F">
            <w:pPr>
              <w:rPr>
                <w:rFonts w:asciiTheme="majorHAnsi" w:hAnsiTheme="majorHAnsi"/>
                <w:lang w:val="lv-LV"/>
              </w:rPr>
            </w:pPr>
          </w:p>
          <w:p w14:paraId="4161A8C4" w14:textId="037FF9C7" w:rsidR="005D17B9" w:rsidRPr="001C47D0" w:rsidRDefault="005D17B9" w:rsidP="007A098F">
            <w:pPr>
              <w:rPr>
                <w:rFonts w:asciiTheme="majorHAnsi" w:hAnsiTheme="majorHAnsi"/>
                <w:lang w:val="lv-LV"/>
              </w:rPr>
            </w:pPr>
          </w:p>
          <w:p w14:paraId="5A943341" w14:textId="5F9E05C8" w:rsidR="005D17B9" w:rsidRPr="001C47D0" w:rsidRDefault="005D17B9" w:rsidP="007A098F">
            <w:pPr>
              <w:rPr>
                <w:rFonts w:asciiTheme="majorHAnsi" w:hAnsiTheme="majorHAnsi"/>
                <w:lang w:val="lv-LV"/>
              </w:rPr>
            </w:pPr>
          </w:p>
          <w:p w14:paraId="027F2C78" w14:textId="4C50B63A" w:rsidR="005D17B9" w:rsidRPr="001C47D0" w:rsidRDefault="005D17B9" w:rsidP="007A098F">
            <w:pPr>
              <w:rPr>
                <w:rFonts w:asciiTheme="majorHAnsi" w:hAnsiTheme="majorHAnsi"/>
                <w:lang w:val="lv-LV"/>
              </w:rPr>
            </w:pPr>
          </w:p>
          <w:p w14:paraId="63D9A1A0" w14:textId="715E1740" w:rsidR="005D17B9" w:rsidRPr="001C47D0" w:rsidRDefault="005D17B9" w:rsidP="007A098F">
            <w:pPr>
              <w:rPr>
                <w:rFonts w:asciiTheme="majorHAnsi" w:hAnsiTheme="majorHAnsi"/>
                <w:lang w:val="lv-LV"/>
              </w:rPr>
            </w:pPr>
            <w:r w:rsidRPr="001C47D0">
              <w:rPr>
                <w:rFonts w:asciiTheme="majorHAnsi" w:hAnsiTheme="majorHAnsi"/>
                <w:lang w:val="lv-LV"/>
              </w:rPr>
              <w:t>…………………………………………</w:t>
            </w:r>
          </w:p>
        </w:tc>
        <w:tc>
          <w:tcPr>
            <w:tcW w:w="4927" w:type="dxa"/>
          </w:tcPr>
          <w:p w14:paraId="2F1A7382" w14:textId="41AEF7C6" w:rsidR="005D17B9" w:rsidRPr="001C47D0" w:rsidRDefault="005D17B9" w:rsidP="007A098F">
            <w:pPr>
              <w:rPr>
                <w:rFonts w:asciiTheme="majorHAnsi" w:hAnsiTheme="majorHAnsi"/>
                <w:lang w:val="lv-LV"/>
              </w:rPr>
            </w:pPr>
          </w:p>
          <w:p w14:paraId="0280E3DA" w14:textId="5B5166C2" w:rsidR="005D17B9" w:rsidRPr="001C47D0" w:rsidRDefault="005D17B9" w:rsidP="007A098F">
            <w:pPr>
              <w:rPr>
                <w:rFonts w:asciiTheme="majorHAnsi" w:hAnsiTheme="majorHAnsi"/>
                <w:lang w:val="lv-LV"/>
              </w:rPr>
            </w:pPr>
          </w:p>
          <w:p w14:paraId="25B1DFA3" w14:textId="5CE00182" w:rsidR="005D17B9" w:rsidRPr="001C47D0" w:rsidRDefault="005D17B9" w:rsidP="007A098F">
            <w:pPr>
              <w:rPr>
                <w:rFonts w:asciiTheme="majorHAnsi" w:hAnsiTheme="majorHAnsi"/>
                <w:lang w:val="lv-LV"/>
              </w:rPr>
            </w:pPr>
          </w:p>
          <w:p w14:paraId="33DD47F6" w14:textId="18A6BAAF" w:rsidR="005D17B9" w:rsidRPr="001C47D0" w:rsidRDefault="005D17B9" w:rsidP="007A098F">
            <w:pPr>
              <w:rPr>
                <w:rFonts w:asciiTheme="majorHAnsi" w:hAnsiTheme="majorHAnsi"/>
                <w:lang w:val="lv-LV"/>
              </w:rPr>
            </w:pPr>
          </w:p>
          <w:p w14:paraId="4B1E6762" w14:textId="7B7D7AA5" w:rsidR="005D17B9" w:rsidRPr="001C47D0" w:rsidRDefault="005D17B9" w:rsidP="007A098F">
            <w:pPr>
              <w:rPr>
                <w:rFonts w:asciiTheme="majorHAnsi" w:hAnsiTheme="majorHAnsi"/>
                <w:lang w:val="lv-LV"/>
              </w:rPr>
            </w:pPr>
            <w:r w:rsidRPr="001C47D0">
              <w:rPr>
                <w:rFonts w:asciiTheme="majorHAnsi" w:hAnsiTheme="majorHAnsi"/>
                <w:lang w:val="lv-LV"/>
              </w:rPr>
              <w:t>…………………………………………</w:t>
            </w:r>
          </w:p>
        </w:tc>
      </w:tr>
      <w:tr w:rsidR="005D17B9" w:rsidRPr="00D736C1" w14:paraId="4ED2C0DE" w14:textId="04670B1C" w:rsidTr="00C714FB">
        <w:tc>
          <w:tcPr>
            <w:tcW w:w="4927" w:type="dxa"/>
          </w:tcPr>
          <w:p w14:paraId="4EFCD4A1" w14:textId="78F438DA" w:rsidR="005D17B9" w:rsidRPr="001C47D0" w:rsidRDefault="005D17B9" w:rsidP="007A098F">
            <w:pPr>
              <w:rPr>
                <w:rFonts w:asciiTheme="majorHAnsi" w:hAnsiTheme="majorHAnsi"/>
                <w:b/>
                <w:lang w:val="lv-LV"/>
              </w:rPr>
            </w:pPr>
            <w:r w:rsidRPr="001C47D0">
              <w:rPr>
                <w:rFonts w:asciiTheme="majorHAnsi" w:hAnsiTheme="majorHAnsi"/>
                <w:b/>
                <w:lang w:val="lv-LV"/>
              </w:rPr>
              <w:t>Jānis Lagzdiņš</w:t>
            </w:r>
          </w:p>
        </w:tc>
        <w:tc>
          <w:tcPr>
            <w:tcW w:w="4927" w:type="dxa"/>
          </w:tcPr>
          <w:p w14:paraId="5476060B" w14:textId="4D67063C" w:rsidR="005D17B9" w:rsidRPr="001C47D0" w:rsidRDefault="001E1489" w:rsidP="007A098F">
            <w:pPr>
              <w:rPr>
                <w:rFonts w:asciiTheme="majorHAnsi" w:hAnsiTheme="majorHAnsi"/>
                <w:b/>
                <w:lang w:val="lv-LV"/>
              </w:rPr>
            </w:pPr>
            <w:r w:rsidRPr="001C47D0">
              <w:rPr>
                <w:rFonts w:asciiTheme="majorHAnsi" w:hAnsiTheme="majorHAnsi"/>
                <w:b/>
                <w:lang w:val="lv-LV"/>
              </w:rPr>
              <w:t>Benno Butulis</w:t>
            </w:r>
          </w:p>
        </w:tc>
      </w:tr>
      <w:tr w:rsidR="005D17B9" w:rsidRPr="00D736C1" w14:paraId="0D336449" w14:textId="4E55673E" w:rsidTr="00C714FB">
        <w:tc>
          <w:tcPr>
            <w:tcW w:w="4927" w:type="dxa"/>
          </w:tcPr>
          <w:p w14:paraId="063DDB92" w14:textId="22B38E97" w:rsidR="005D17B9" w:rsidRPr="001C47D0" w:rsidRDefault="005D17B9" w:rsidP="007A098F">
            <w:pPr>
              <w:rPr>
                <w:rFonts w:asciiTheme="majorHAnsi" w:hAnsiTheme="majorHAnsi"/>
                <w:i/>
              </w:rPr>
            </w:pPr>
            <w:r w:rsidRPr="001C47D0">
              <w:rPr>
                <w:rFonts w:asciiTheme="majorHAnsi" w:hAnsiTheme="majorHAnsi"/>
              </w:rPr>
              <w:t xml:space="preserve">ZAB </w:t>
            </w:r>
            <w:r w:rsidRPr="001C47D0">
              <w:rPr>
                <w:rFonts w:asciiTheme="majorHAnsi" w:hAnsiTheme="majorHAnsi"/>
                <w:i/>
              </w:rPr>
              <w:t>PricewaterhouseCoopers Legal</w:t>
            </w:r>
          </w:p>
        </w:tc>
        <w:tc>
          <w:tcPr>
            <w:tcW w:w="4927" w:type="dxa"/>
          </w:tcPr>
          <w:p w14:paraId="0E1D1821" w14:textId="6DE03B72" w:rsidR="005D17B9" w:rsidRPr="001C47D0" w:rsidRDefault="005D17B9" w:rsidP="007A098F">
            <w:pPr>
              <w:rPr>
                <w:rFonts w:asciiTheme="majorHAnsi" w:hAnsiTheme="majorHAnsi"/>
                <w:i/>
                <w:lang w:val="lv-LV"/>
              </w:rPr>
            </w:pPr>
            <w:r w:rsidRPr="001C47D0">
              <w:rPr>
                <w:rFonts w:asciiTheme="majorHAnsi" w:hAnsiTheme="majorHAnsi"/>
                <w:lang w:val="lv-LV"/>
              </w:rPr>
              <w:t xml:space="preserve">ZAB </w:t>
            </w:r>
            <w:r w:rsidRPr="001C47D0">
              <w:rPr>
                <w:rFonts w:asciiTheme="majorHAnsi" w:hAnsiTheme="majorHAnsi"/>
                <w:i/>
                <w:lang w:val="lv-LV"/>
              </w:rPr>
              <w:t>PricewaterhouseCoopers Legal</w:t>
            </w:r>
          </w:p>
        </w:tc>
      </w:tr>
      <w:tr w:rsidR="005D17B9" w:rsidRPr="00D736C1" w14:paraId="02688961" w14:textId="1B5A2753" w:rsidTr="00C714FB">
        <w:tc>
          <w:tcPr>
            <w:tcW w:w="4927" w:type="dxa"/>
          </w:tcPr>
          <w:p w14:paraId="079B0423" w14:textId="25F50DA9" w:rsidR="005D17B9" w:rsidRPr="001C47D0" w:rsidRDefault="005D17B9" w:rsidP="007A098F">
            <w:pPr>
              <w:rPr>
                <w:rFonts w:asciiTheme="majorHAnsi" w:hAnsiTheme="majorHAnsi"/>
                <w:lang w:val="lv-LV"/>
              </w:rPr>
            </w:pPr>
            <w:r w:rsidRPr="001C47D0">
              <w:rPr>
                <w:rFonts w:asciiTheme="majorHAnsi" w:hAnsiTheme="majorHAnsi"/>
                <w:lang w:val="lv-LV"/>
              </w:rPr>
              <w:t>Partneris, Zvērināts advokāts</w:t>
            </w:r>
          </w:p>
        </w:tc>
        <w:tc>
          <w:tcPr>
            <w:tcW w:w="4927" w:type="dxa"/>
          </w:tcPr>
          <w:p w14:paraId="60FA6E5B" w14:textId="0C43AD40" w:rsidR="005D17B9" w:rsidRPr="001C47D0" w:rsidRDefault="001E1489" w:rsidP="007A098F">
            <w:pPr>
              <w:rPr>
                <w:rFonts w:asciiTheme="majorHAnsi" w:hAnsiTheme="majorHAnsi"/>
                <w:lang w:val="lv-LV"/>
              </w:rPr>
            </w:pPr>
            <w:r w:rsidRPr="001C47D0">
              <w:rPr>
                <w:rFonts w:asciiTheme="majorHAnsi" w:hAnsiTheme="majorHAnsi"/>
                <w:lang w:val="lv-LV"/>
              </w:rPr>
              <w:t>Zvērināts advokāts</w:t>
            </w:r>
          </w:p>
        </w:tc>
      </w:tr>
    </w:tbl>
    <w:p w14:paraId="51E8BD78" w14:textId="18B456CB" w:rsidR="005D17B9" w:rsidRDefault="005D17B9" w:rsidP="00037E15">
      <w:pPr>
        <w:pStyle w:val="TOCHeading"/>
        <w:numPr>
          <w:ilvl w:val="0"/>
          <w:numId w:val="0"/>
        </w:numPr>
        <w:ind w:left="432"/>
        <w:rPr>
          <w:rFonts w:eastAsiaTheme="minorHAnsi" w:cstheme="minorBidi"/>
          <w:b w:val="0"/>
          <w:bCs w:val="0"/>
          <w:i w:val="0"/>
          <w:iCs/>
          <w:sz w:val="20"/>
          <w:szCs w:val="20"/>
          <w:highlight w:val="yellow"/>
          <w:lang w:val="lv-LV"/>
        </w:rPr>
      </w:pPr>
    </w:p>
    <w:p w14:paraId="59725AF9" w14:textId="1318E943" w:rsidR="00903332" w:rsidRDefault="00903332" w:rsidP="00903332">
      <w:pPr>
        <w:rPr>
          <w:highlight w:val="yellow"/>
          <w:lang w:val="lv-LV"/>
        </w:rPr>
      </w:pPr>
    </w:p>
    <w:p w14:paraId="3DB96AE9" w14:textId="0D472FA2" w:rsidR="00903332" w:rsidRDefault="00903332" w:rsidP="00903332">
      <w:pPr>
        <w:rPr>
          <w:highlight w:val="yellow"/>
          <w:lang w:val="lv-LV"/>
        </w:rPr>
      </w:pPr>
    </w:p>
    <w:p w14:paraId="7EFB1C29" w14:textId="02744796" w:rsidR="00903332" w:rsidRDefault="00903332" w:rsidP="00903332">
      <w:pPr>
        <w:rPr>
          <w:highlight w:val="yellow"/>
          <w:lang w:val="lv-LV"/>
        </w:rPr>
      </w:pPr>
    </w:p>
    <w:p w14:paraId="41EAEE2E" w14:textId="634EA960" w:rsidR="00903332" w:rsidRDefault="00903332" w:rsidP="00903332">
      <w:pPr>
        <w:rPr>
          <w:highlight w:val="yellow"/>
          <w:lang w:val="lv-LV"/>
        </w:rPr>
      </w:pPr>
    </w:p>
    <w:p w14:paraId="5BC4B33F" w14:textId="77777777" w:rsidR="004B6542" w:rsidRDefault="004B6542" w:rsidP="00903332">
      <w:pPr>
        <w:rPr>
          <w:highlight w:val="yellow"/>
          <w:lang w:val="lv-LV"/>
        </w:rPr>
      </w:pPr>
    </w:p>
    <w:p w14:paraId="228DA658" w14:textId="77777777" w:rsidR="00903332" w:rsidRDefault="00903332" w:rsidP="00903332">
      <w:pPr>
        <w:rPr>
          <w:highlight w:val="yellow"/>
          <w:lang w:val="lv-LV"/>
        </w:rPr>
      </w:pPr>
    </w:p>
    <w:p w14:paraId="361D0881" w14:textId="12DC191A" w:rsidR="00903332" w:rsidRDefault="00903332" w:rsidP="00903332">
      <w:pPr>
        <w:rPr>
          <w:highlight w:val="yellow"/>
          <w:lang w:val="lv-LV"/>
        </w:rPr>
      </w:pPr>
    </w:p>
    <w:p w14:paraId="20BBC4ED" w14:textId="77777777" w:rsidR="00903332" w:rsidRPr="00903332" w:rsidRDefault="00903332" w:rsidP="00903332">
      <w:pPr>
        <w:rPr>
          <w:highlight w:val="yellow"/>
          <w:lang w:val="lv-LV"/>
        </w:rPr>
      </w:pPr>
    </w:p>
    <w:p w14:paraId="71750C98" w14:textId="77777777" w:rsidR="00903332" w:rsidRDefault="00903332" w:rsidP="00903332">
      <w:pPr>
        <w:pStyle w:val="Address"/>
      </w:pPr>
      <w:r>
        <w:rPr>
          <w:lang w:val="en-US" w:eastAsia="en-US"/>
        </w:rPr>
        <mc:AlternateContent>
          <mc:Choice Requires="wps">
            <w:drawing>
              <wp:anchor distT="0" distB="0" distL="114300" distR="114300" simplePos="0" relativeHeight="251659264" behindDoc="0" locked="1" layoutInCell="1" allowOverlap="1" wp14:anchorId="302AA6C7" wp14:editId="6F4CE526">
                <wp:simplePos x="0" y="0"/>
                <wp:positionH relativeFrom="page">
                  <wp:posOffset>522605</wp:posOffset>
                </wp:positionH>
                <wp:positionV relativeFrom="paragraph">
                  <wp:posOffset>-173990</wp:posOffset>
                </wp:positionV>
                <wp:extent cx="5904230" cy="144145"/>
                <wp:effectExtent l="19050" t="19050" r="39370" b="4635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44145"/>
                        </a:xfrm>
                        <a:custGeom>
                          <a:avLst/>
                          <a:gdLst>
                            <a:gd name="T0" fmla="*/ 0 w 9299"/>
                            <a:gd name="T1" fmla="*/ 228 h 228"/>
                            <a:gd name="T2" fmla="*/ 0 w 9299"/>
                            <a:gd name="T3" fmla="*/ 0 h 228"/>
                            <a:gd name="T4" fmla="*/ 9299 w 9299"/>
                            <a:gd name="T5" fmla="*/ 0 h 228"/>
                          </a:gdLst>
                          <a:ahLst/>
                          <a:cxnLst>
                            <a:cxn ang="0">
                              <a:pos x="T0" y="T1"/>
                            </a:cxn>
                            <a:cxn ang="0">
                              <a:pos x="T2" y="T3"/>
                            </a:cxn>
                            <a:cxn ang="0">
                              <a:pos x="T4" y="T5"/>
                            </a:cxn>
                          </a:cxnLst>
                          <a:rect l="0" t="0" r="r" b="b"/>
                          <a:pathLst>
                            <a:path w="9299" h="228">
                              <a:moveTo>
                                <a:pt x="0" y="228"/>
                              </a:moveTo>
                              <a:lnTo>
                                <a:pt x="0" y="0"/>
                              </a:lnTo>
                              <a:lnTo>
                                <a:pt x="9299" y="0"/>
                              </a:lnTo>
                            </a:path>
                          </a:pathLst>
                        </a:custGeom>
                        <a:noFill/>
                        <a:ln w="12700" cap="sq">
                          <a:solidFill>
                            <a:srgbClr val="A320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58EF" id="Freeform 4" o:spid="_x0000_s1026" style="position:absolute;margin-left:41.15pt;margin-top:-13.7pt;width:464.9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9,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" path="m,228l,,9299,e" filled="f" strokecolor="#a32020" strokeweight="1pt">
                <v:stroke dashstyle="dot" endcap="square"/>
                <v:path arrowok="t" o:connecttype="custom" o:connectlocs="0,144145;0,0;5904230,0" o:connectangles="0,0,0"/>
                <w10:wrap anchorx="page"/>
                <w10:anchorlock/>
              </v:shape>
            </w:pict>
          </mc:Fallback>
        </mc:AlternateContent>
      </w:r>
      <w:bookmarkStart w:id="4" w:name="address"/>
      <w:bookmarkStart w:id="5" w:name="URL"/>
      <w:r>
        <w:t xml:space="preserve">Zvērinātu advokātu birojs PricewaterhouseCoopers Legal, Kr. Valdemāra iela 21, Rīga, LV-1010, Latvija, LV90010364699, </w:t>
      </w:r>
    </w:p>
    <w:p w14:paraId="32711243" w14:textId="77777777" w:rsidR="00903332" w:rsidRPr="00B80C5C" w:rsidRDefault="00903332" w:rsidP="00903332">
      <w:pPr>
        <w:pStyle w:val="Address"/>
      </w:pPr>
      <w:r>
        <w:t xml:space="preserve">T: +371 6709 4400, F: +371 6783 0055, </w:t>
      </w:r>
      <w:bookmarkEnd w:id="4"/>
      <w:r>
        <w:t>www.pwclegal.lv</w:t>
      </w:r>
      <w:bookmarkEnd w:id="5"/>
    </w:p>
    <w:p w14:paraId="36D675AC" w14:textId="77777777" w:rsidR="00903332" w:rsidRDefault="00903332" w:rsidP="00903332">
      <w:pPr>
        <w:pStyle w:val="Footer"/>
      </w:pPr>
    </w:p>
    <w:p w14:paraId="5C6D1F73" w14:textId="77777777" w:rsidR="00903332" w:rsidRPr="00D32533" w:rsidRDefault="00903332" w:rsidP="00903332">
      <w:pPr>
        <w:pStyle w:val="Disclaimer"/>
        <w:rPr>
          <w:rFonts w:ascii="Georgia" w:hAnsi="Georgia"/>
        </w:rPr>
      </w:pPr>
      <w:bookmarkStart w:id="6" w:name="Disclaimer"/>
      <w:r w:rsidRPr="00D32533">
        <w:rPr>
          <w:rFonts w:ascii="Georgia" w:hAnsi="Georgia"/>
        </w:rPr>
        <w:t>©2020 PricewaterhouseCoopers Legal ZAB. Visas tiesības saglabātas. PricewaterhouseCoopers Legal ir Latvijas Zvērinātu advokātu padomē reģistrēts zvērinātu advokātu birojs.</w:t>
      </w:r>
      <w:bookmarkEnd w:id="6"/>
    </w:p>
    <w:p w14:paraId="0936E7B6" w14:textId="77777777" w:rsidR="00965659" w:rsidRDefault="00965659" w:rsidP="005D17B9">
      <w:pPr>
        <w:pStyle w:val="NormalWeb"/>
        <w:jc w:val="both"/>
        <w:rPr>
          <w:rFonts w:asciiTheme="majorHAnsi" w:hAnsiTheme="majorHAnsi"/>
          <w:bCs/>
          <w:i/>
          <w:color w:val="E0301E" w:themeColor="accent4"/>
          <w:sz w:val="32"/>
          <w:szCs w:val="32"/>
          <w:lang w:val="lv-LV"/>
        </w:rPr>
      </w:pPr>
    </w:p>
    <w:p w14:paraId="64E2A253" w14:textId="678234F7" w:rsidR="00576701" w:rsidRPr="00044AC3" w:rsidRDefault="00802F0B" w:rsidP="005D17B9">
      <w:pPr>
        <w:pStyle w:val="NormalWeb"/>
        <w:jc w:val="both"/>
        <w:rPr>
          <w:rFonts w:asciiTheme="majorHAnsi" w:hAnsiTheme="majorHAnsi"/>
          <w:bCs/>
          <w:i/>
          <w:color w:val="E0301E" w:themeColor="accent4"/>
          <w:sz w:val="32"/>
          <w:szCs w:val="32"/>
          <w:lang w:val="lv-LV"/>
        </w:rPr>
      </w:pPr>
      <w:r>
        <w:rPr>
          <w:rFonts w:asciiTheme="majorHAnsi" w:hAnsiTheme="majorHAnsi"/>
          <w:bCs/>
          <w:i/>
          <w:color w:val="E0301E" w:themeColor="accent4"/>
          <w:sz w:val="32"/>
          <w:szCs w:val="32"/>
          <w:lang w:val="lv-LV"/>
        </w:rPr>
        <w:lastRenderedPageBreak/>
        <w:t>P</w:t>
      </w:r>
      <w:r w:rsidR="00576701" w:rsidRPr="00044AC3">
        <w:rPr>
          <w:rFonts w:asciiTheme="majorHAnsi" w:hAnsiTheme="majorHAnsi"/>
          <w:bCs/>
          <w:i/>
          <w:color w:val="E0301E" w:themeColor="accent4"/>
          <w:sz w:val="32"/>
          <w:szCs w:val="32"/>
          <w:lang w:val="lv-LV"/>
        </w:rPr>
        <w:t>aziņojums jebkurai personai, kas iepazī</w:t>
      </w:r>
      <w:r w:rsidR="004B6542">
        <w:rPr>
          <w:rFonts w:asciiTheme="majorHAnsi" w:hAnsiTheme="majorHAnsi"/>
          <w:bCs/>
          <w:i/>
          <w:color w:val="E0301E" w:themeColor="accent4"/>
          <w:sz w:val="32"/>
          <w:szCs w:val="32"/>
          <w:lang w:val="lv-LV"/>
        </w:rPr>
        <w:t>stas</w:t>
      </w:r>
      <w:r w:rsidR="00576701" w:rsidRPr="00044AC3">
        <w:rPr>
          <w:rFonts w:asciiTheme="majorHAnsi" w:hAnsiTheme="majorHAnsi"/>
          <w:bCs/>
          <w:i/>
          <w:color w:val="E0301E" w:themeColor="accent4"/>
          <w:sz w:val="32"/>
          <w:szCs w:val="32"/>
          <w:lang w:val="lv-LV"/>
        </w:rPr>
        <w:t xml:space="preserve"> ar šo </w:t>
      </w:r>
      <w:r w:rsidR="004B6542">
        <w:rPr>
          <w:rFonts w:asciiTheme="majorHAnsi" w:hAnsiTheme="majorHAnsi"/>
          <w:bCs/>
          <w:i/>
          <w:color w:val="E0301E" w:themeColor="accent4"/>
          <w:sz w:val="32"/>
          <w:szCs w:val="32"/>
          <w:lang w:val="lv-LV"/>
        </w:rPr>
        <w:t>Pētījumu</w:t>
      </w:r>
    </w:p>
    <w:p w14:paraId="0D8CD39E" w14:textId="575EEBA3" w:rsidR="005D17B9" w:rsidRPr="0067734C" w:rsidRDefault="005D17B9" w:rsidP="005D17B9">
      <w:pPr>
        <w:pStyle w:val="NormalWeb"/>
        <w:jc w:val="both"/>
        <w:rPr>
          <w:rFonts w:asciiTheme="majorHAnsi" w:hAnsiTheme="majorHAnsi"/>
          <w:sz w:val="20"/>
          <w:szCs w:val="20"/>
          <w:lang w:val="lv-LV"/>
        </w:rPr>
      </w:pPr>
      <w:r w:rsidRPr="0067734C">
        <w:rPr>
          <w:rFonts w:asciiTheme="majorHAnsi" w:hAnsiTheme="majorHAnsi"/>
          <w:sz w:val="20"/>
          <w:szCs w:val="20"/>
          <w:lang w:val="lv-LV"/>
        </w:rPr>
        <w:t xml:space="preserve">Šo </w:t>
      </w:r>
      <w:r w:rsidR="00802F0B">
        <w:rPr>
          <w:rFonts w:asciiTheme="majorHAnsi" w:hAnsiTheme="majorHAnsi"/>
          <w:sz w:val="20"/>
          <w:szCs w:val="20"/>
          <w:lang w:val="lv-LV"/>
        </w:rPr>
        <w:t>Pētījumu</w:t>
      </w:r>
      <w:r w:rsidR="00991111" w:rsidRPr="0067734C">
        <w:rPr>
          <w:rFonts w:asciiTheme="majorHAnsi" w:hAnsiTheme="majorHAnsi"/>
          <w:sz w:val="20"/>
          <w:szCs w:val="20"/>
          <w:lang w:val="lv-LV"/>
        </w:rPr>
        <w:t xml:space="preserve"> </w:t>
      </w:r>
      <w:r w:rsidRPr="0067734C">
        <w:rPr>
          <w:rFonts w:asciiTheme="majorHAnsi" w:hAnsiTheme="majorHAnsi"/>
          <w:sz w:val="20"/>
          <w:szCs w:val="20"/>
          <w:lang w:val="lv-LV"/>
        </w:rPr>
        <w:t xml:space="preserve">ir sagatavojis </w:t>
      </w:r>
      <w:r w:rsidR="009E1677" w:rsidRPr="0067734C">
        <w:rPr>
          <w:rFonts w:asciiTheme="majorHAnsi" w:hAnsiTheme="majorHAnsi"/>
          <w:sz w:val="20"/>
          <w:szCs w:val="20"/>
          <w:lang w:val="lv-LV"/>
        </w:rPr>
        <w:t>PwC Legal</w:t>
      </w:r>
      <w:r w:rsidR="00802F0B">
        <w:rPr>
          <w:rFonts w:asciiTheme="majorHAnsi" w:hAnsiTheme="majorHAnsi"/>
          <w:sz w:val="20"/>
          <w:szCs w:val="20"/>
          <w:lang w:val="lv-LV"/>
        </w:rPr>
        <w:t xml:space="preserve">, izmantojot tam pieejamos materiālus, informāciju un normatīvos aktus, kā arī cita veida juridiska un ne- juridiska rakstura informāciju. </w:t>
      </w:r>
      <w:r w:rsidR="008063A0">
        <w:rPr>
          <w:rFonts w:asciiTheme="majorHAnsi" w:hAnsiTheme="majorHAnsi"/>
          <w:sz w:val="20"/>
          <w:szCs w:val="20"/>
          <w:lang w:val="lv-LV"/>
        </w:rPr>
        <w:t xml:space="preserve">Pētījums veikts uzdevumā, ko PwC Legal uzdevusi Latvijas Mediju ētikas padome, proti, par mediju finansēšanu no valsts budžeta līdzekļiem, un problēmām, kas ar to saistītas. </w:t>
      </w:r>
    </w:p>
    <w:p w14:paraId="6E9F1B47" w14:textId="5B36DCC9" w:rsidR="005D17B9" w:rsidRDefault="005D17B9" w:rsidP="005D17B9">
      <w:pPr>
        <w:pStyle w:val="NormalWeb"/>
        <w:jc w:val="both"/>
        <w:rPr>
          <w:rFonts w:asciiTheme="majorHAnsi" w:hAnsiTheme="majorHAnsi"/>
          <w:sz w:val="20"/>
          <w:szCs w:val="20"/>
          <w:lang w:val="lv-LV"/>
        </w:rPr>
      </w:pPr>
      <w:r w:rsidRPr="00044AC3">
        <w:rPr>
          <w:rFonts w:asciiTheme="majorHAnsi" w:hAnsiTheme="majorHAnsi"/>
          <w:sz w:val="20"/>
          <w:szCs w:val="20"/>
          <w:lang w:val="lv-LV"/>
        </w:rPr>
        <w:t xml:space="preserve">Sagatavojot šo </w:t>
      </w:r>
      <w:r w:rsidR="008063A0">
        <w:rPr>
          <w:rFonts w:asciiTheme="majorHAnsi" w:hAnsiTheme="majorHAnsi"/>
          <w:sz w:val="20"/>
          <w:szCs w:val="20"/>
          <w:lang w:val="lv-LV"/>
        </w:rPr>
        <w:t>Pētījumu</w:t>
      </w:r>
      <w:r w:rsidRPr="00044AC3">
        <w:rPr>
          <w:rFonts w:asciiTheme="majorHAnsi" w:hAnsiTheme="majorHAnsi"/>
          <w:sz w:val="20"/>
          <w:szCs w:val="20"/>
          <w:lang w:val="lv-LV"/>
        </w:rPr>
        <w:t xml:space="preserve">, </w:t>
      </w:r>
      <w:r w:rsidR="008063A0">
        <w:rPr>
          <w:rFonts w:asciiTheme="majorHAnsi" w:hAnsiTheme="majorHAnsi"/>
          <w:sz w:val="20"/>
          <w:szCs w:val="20"/>
          <w:lang w:val="lv-LV"/>
        </w:rPr>
        <w:t>PwC Legal</w:t>
      </w:r>
      <w:r w:rsidRPr="00044AC3">
        <w:rPr>
          <w:rFonts w:asciiTheme="majorHAnsi" w:hAnsiTheme="majorHAnsi"/>
          <w:sz w:val="20"/>
          <w:szCs w:val="20"/>
          <w:lang w:val="lv-LV"/>
        </w:rPr>
        <w:t xml:space="preserve"> </w:t>
      </w:r>
      <w:r w:rsidR="008063A0">
        <w:rPr>
          <w:rFonts w:asciiTheme="majorHAnsi" w:hAnsiTheme="majorHAnsi"/>
          <w:sz w:val="20"/>
          <w:szCs w:val="20"/>
          <w:lang w:val="lv-LV"/>
        </w:rPr>
        <w:t xml:space="preserve">un tā darbinieki </w:t>
      </w:r>
      <w:r w:rsidRPr="00044AC3">
        <w:rPr>
          <w:rFonts w:asciiTheme="majorHAnsi" w:hAnsiTheme="majorHAnsi"/>
          <w:sz w:val="20"/>
          <w:szCs w:val="20"/>
          <w:lang w:val="lv-LV"/>
        </w:rPr>
        <w:t>neuzņema</w:t>
      </w:r>
      <w:r w:rsidR="008063A0">
        <w:rPr>
          <w:rFonts w:asciiTheme="majorHAnsi" w:hAnsiTheme="majorHAnsi"/>
          <w:sz w:val="20"/>
          <w:szCs w:val="20"/>
          <w:lang w:val="lv-LV"/>
        </w:rPr>
        <w:t>s</w:t>
      </w:r>
      <w:r w:rsidRPr="00044AC3">
        <w:rPr>
          <w:rFonts w:asciiTheme="majorHAnsi" w:hAnsiTheme="majorHAnsi"/>
          <w:sz w:val="20"/>
          <w:szCs w:val="20"/>
          <w:lang w:val="lv-LV"/>
        </w:rPr>
        <w:t xml:space="preserve"> noslēgtajā Līgumā paredzēto atbildību, ja </w:t>
      </w:r>
      <w:r w:rsidR="008063A0">
        <w:rPr>
          <w:rFonts w:asciiTheme="majorHAnsi" w:hAnsiTheme="majorHAnsi"/>
          <w:sz w:val="20"/>
          <w:szCs w:val="20"/>
          <w:lang w:val="lv-LV"/>
        </w:rPr>
        <w:t>Pētījumu</w:t>
      </w:r>
      <w:r w:rsidRPr="00044AC3">
        <w:rPr>
          <w:rFonts w:asciiTheme="majorHAnsi" w:hAnsiTheme="majorHAnsi"/>
          <w:sz w:val="20"/>
          <w:szCs w:val="20"/>
          <w:lang w:val="lv-LV"/>
        </w:rPr>
        <w:t xml:space="preserve"> ir plānots izmantot kādiem citiem mērķiem, vai ja </w:t>
      </w:r>
      <w:r w:rsidR="00A43F91">
        <w:rPr>
          <w:rFonts w:asciiTheme="majorHAnsi" w:hAnsiTheme="majorHAnsi"/>
          <w:sz w:val="20"/>
          <w:szCs w:val="20"/>
          <w:lang w:val="lv-LV"/>
        </w:rPr>
        <w:t>Pētījumu</w:t>
      </w:r>
      <w:r w:rsidRPr="00044AC3">
        <w:rPr>
          <w:rFonts w:asciiTheme="majorHAnsi" w:hAnsiTheme="majorHAnsi"/>
          <w:sz w:val="20"/>
          <w:szCs w:val="20"/>
          <w:lang w:val="lv-LV"/>
        </w:rPr>
        <w:t xml:space="preserve"> izmanto kāda trešā persona, kurai šis </w:t>
      </w:r>
      <w:r w:rsidR="00A43F91">
        <w:rPr>
          <w:rFonts w:asciiTheme="majorHAnsi" w:hAnsiTheme="majorHAnsi"/>
          <w:sz w:val="20"/>
          <w:szCs w:val="20"/>
          <w:lang w:val="lv-LV"/>
        </w:rPr>
        <w:t xml:space="preserve">Pētījums </w:t>
      </w:r>
      <w:r w:rsidRPr="00044AC3">
        <w:rPr>
          <w:rFonts w:asciiTheme="majorHAnsi" w:hAnsiTheme="majorHAnsi"/>
          <w:sz w:val="20"/>
          <w:szCs w:val="20"/>
          <w:lang w:val="lv-LV"/>
        </w:rPr>
        <w:t>ir kļuvis pieejams.</w:t>
      </w:r>
    </w:p>
    <w:p w14:paraId="62C0FA5C" w14:textId="484E30A3" w:rsidR="00AE1E52" w:rsidRPr="00044AC3" w:rsidRDefault="00AE1E52" w:rsidP="005D17B9">
      <w:pPr>
        <w:pStyle w:val="NormalWeb"/>
        <w:jc w:val="both"/>
        <w:rPr>
          <w:rFonts w:asciiTheme="majorHAnsi" w:hAnsiTheme="majorHAnsi"/>
          <w:sz w:val="20"/>
          <w:szCs w:val="20"/>
          <w:lang w:val="lv-LV"/>
        </w:rPr>
      </w:pPr>
      <w:r>
        <w:rPr>
          <w:rFonts w:asciiTheme="majorHAnsi" w:hAnsiTheme="majorHAnsi"/>
          <w:sz w:val="20"/>
          <w:szCs w:val="20"/>
          <w:lang w:val="lv-LV"/>
        </w:rPr>
        <w:t>Pētījumu saskaņā ar vienošanos, Latvijas Mediju ētikas padome drīkst publicēt savā interneta vietnē, kā arī šajā Pētījumā sniegtos apsvērumus izmantot, sabiedrības informēšanas nolūkos</w:t>
      </w:r>
      <w:r w:rsidR="00442FAB">
        <w:rPr>
          <w:rFonts w:asciiTheme="majorHAnsi" w:hAnsiTheme="majorHAnsi"/>
          <w:sz w:val="20"/>
          <w:szCs w:val="20"/>
          <w:lang w:val="lv-LV"/>
        </w:rPr>
        <w:t xml:space="preserve">. </w:t>
      </w:r>
    </w:p>
    <w:p w14:paraId="68E66C8D" w14:textId="1036685F" w:rsidR="005D17B9" w:rsidRPr="00044AC3" w:rsidRDefault="00536129" w:rsidP="005D17B9">
      <w:pPr>
        <w:pStyle w:val="NormalWeb"/>
        <w:jc w:val="both"/>
        <w:rPr>
          <w:rFonts w:asciiTheme="majorHAnsi" w:hAnsiTheme="majorHAnsi"/>
          <w:sz w:val="20"/>
          <w:szCs w:val="20"/>
          <w:lang w:val="lv-LV"/>
        </w:rPr>
      </w:pPr>
      <w:r>
        <w:rPr>
          <w:rFonts w:asciiTheme="majorHAnsi" w:hAnsiTheme="majorHAnsi"/>
          <w:sz w:val="20"/>
          <w:szCs w:val="20"/>
          <w:lang w:val="lv-LV"/>
        </w:rPr>
        <w:t>P</w:t>
      </w:r>
      <w:r w:rsidR="005D17B9" w:rsidRPr="00044AC3">
        <w:rPr>
          <w:rFonts w:asciiTheme="majorHAnsi" w:hAnsiTheme="majorHAnsi"/>
          <w:sz w:val="20"/>
          <w:szCs w:val="20"/>
          <w:lang w:val="lv-LV"/>
        </w:rPr>
        <w:t xml:space="preserve">ersona, iepazīstoties ar </w:t>
      </w:r>
      <w:r>
        <w:rPr>
          <w:rFonts w:asciiTheme="majorHAnsi" w:hAnsiTheme="majorHAnsi"/>
          <w:sz w:val="20"/>
          <w:szCs w:val="20"/>
          <w:lang w:val="lv-LV"/>
        </w:rPr>
        <w:t>Pētījumu,</w:t>
      </w:r>
      <w:r w:rsidR="005D17B9" w:rsidRPr="00044AC3">
        <w:rPr>
          <w:rFonts w:asciiTheme="majorHAnsi" w:hAnsiTheme="majorHAnsi"/>
          <w:sz w:val="20"/>
          <w:szCs w:val="20"/>
          <w:lang w:val="lv-LV"/>
        </w:rPr>
        <w:t xml:space="preserve"> piekrīt šādiem </w:t>
      </w:r>
      <w:r w:rsidR="005D17B9" w:rsidRPr="00044AC3">
        <w:rPr>
          <w:rFonts w:asciiTheme="majorHAnsi" w:eastAsia="Times New Roman" w:hAnsiTheme="majorHAnsi"/>
          <w:color w:val="000000"/>
          <w:sz w:val="20"/>
          <w:szCs w:val="20"/>
          <w:lang w:val="lv-LV" w:eastAsia="en-GB"/>
        </w:rPr>
        <w:t>noteikumiem</w:t>
      </w:r>
      <w:r w:rsidR="005D17B9" w:rsidRPr="00044AC3">
        <w:rPr>
          <w:rFonts w:asciiTheme="majorHAnsi" w:hAnsiTheme="majorHAnsi"/>
          <w:sz w:val="20"/>
          <w:szCs w:val="20"/>
          <w:lang w:val="lv-LV"/>
        </w:rPr>
        <w:t>:</w:t>
      </w:r>
    </w:p>
    <w:p w14:paraId="1147675E" w14:textId="2F229928" w:rsidR="005D17B9" w:rsidRPr="00044AC3" w:rsidRDefault="002D53E7" w:rsidP="009C134F">
      <w:pPr>
        <w:pStyle w:val="ListNumber"/>
        <w:numPr>
          <w:ilvl w:val="0"/>
          <w:numId w:val="8"/>
        </w:numPr>
        <w:spacing w:after="120"/>
        <w:ind w:left="799" w:hanging="357"/>
        <w:contextualSpacing w:val="0"/>
        <w:jc w:val="both"/>
        <w:rPr>
          <w:rFonts w:asciiTheme="majorHAnsi" w:hAnsiTheme="majorHAnsi"/>
          <w:lang w:val="lv-LV"/>
        </w:rPr>
      </w:pPr>
      <w:r>
        <w:rPr>
          <w:rFonts w:asciiTheme="majorHAnsi" w:hAnsiTheme="majorHAnsi"/>
          <w:lang w:val="lv-LV"/>
        </w:rPr>
        <w:t xml:space="preserve">Pētījuma lasītājs saprot, ka </w:t>
      </w:r>
      <w:r w:rsidR="00536129" w:rsidRPr="00536129">
        <w:rPr>
          <w:rFonts w:asciiTheme="majorHAnsi" w:hAnsiTheme="majorHAnsi"/>
          <w:lang w:val="lv-LV"/>
        </w:rPr>
        <w:t>Pētījumā</w:t>
      </w:r>
      <w:r w:rsidR="005D17B9" w:rsidRPr="00536129">
        <w:rPr>
          <w:rFonts w:asciiTheme="majorHAnsi" w:hAnsiTheme="majorHAnsi"/>
          <w:lang w:val="lv-LV"/>
        </w:rPr>
        <w:t xml:space="preserve"> minētie apgalvojumi ir balstīti uz šobrīd </w:t>
      </w:r>
      <w:r w:rsidR="00536129" w:rsidRPr="00536129">
        <w:rPr>
          <w:rFonts w:asciiTheme="majorHAnsi" w:hAnsiTheme="majorHAnsi"/>
          <w:lang w:val="lv-LV"/>
        </w:rPr>
        <w:t xml:space="preserve">Latvijas teritorijā </w:t>
      </w:r>
      <w:r w:rsidR="005D17B9" w:rsidRPr="00536129">
        <w:rPr>
          <w:rFonts w:asciiTheme="majorHAnsi" w:hAnsiTheme="majorHAnsi"/>
          <w:lang w:val="lv-LV"/>
        </w:rPr>
        <w:t>spēkā esošajiem normatīvajiem aktiem</w:t>
      </w:r>
      <w:r>
        <w:rPr>
          <w:rFonts w:asciiTheme="majorHAnsi" w:hAnsiTheme="majorHAnsi"/>
          <w:lang w:val="lv-LV"/>
        </w:rPr>
        <w:t>, kā arī citu publiski pieejamu informāciju, ko PwC Legal izvēlējies ietvert Pētījumā</w:t>
      </w:r>
      <w:r w:rsidR="005D17B9" w:rsidRPr="00536129">
        <w:rPr>
          <w:rFonts w:asciiTheme="majorHAnsi" w:hAnsiTheme="majorHAnsi"/>
          <w:lang w:val="lv-LV"/>
        </w:rPr>
        <w:t>.</w:t>
      </w:r>
      <w:r w:rsidR="005D17B9" w:rsidRPr="00044AC3">
        <w:rPr>
          <w:rFonts w:asciiTheme="majorHAnsi" w:hAnsiTheme="majorHAnsi"/>
          <w:lang w:val="lv-LV"/>
        </w:rPr>
        <w:t xml:space="preserve"> </w:t>
      </w:r>
      <w:r w:rsidR="00536129">
        <w:rPr>
          <w:rFonts w:asciiTheme="majorHAnsi" w:hAnsiTheme="majorHAnsi"/>
          <w:lang w:val="lv-LV"/>
        </w:rPr>
        <w:t>Ja Pētījumā pieminētas tiesību normas, kas nav saistošas Latvijā, tas norādīts tekstā</w:t>
      </w:r>
      <w:r w:rsidR="001A5C1D">
        <w:rPr>
          <w:rFonts w:asciiTheme="majorHAnsi" w:hAnsiTheme="majorHAnsi"/>
          <w:lang w:val="lv-LV"/>
        </w:rPr>
        <w:t>;</w:t>
      </w:r>
      <w:r w:rsidR="00536129">
        <w:rPr>
          <w:rFonts w:asciiTheme="majorHAnsi" w:hAnsiTheme="majorHAnsi"/>
          <w:lang w:val="lv-LV"/>
        </w:rPr>
        <w:t xml:space="preserve"> </w:t>
      </w:r>
    </w:p>
    <w:p w14:paraId="7B552B08" w14:textId="6D5FB281" w:rsidR="005D17B9" w:rsidRPr="00044AC3" w:rsidRDefault="00536129" w:rsidP="009C134F">
      <w:pPr>
        <w:pStyle w:val="ListNumber"/>
        <w:numPr>
          <w:ilvl w:val="0"/>
          <w:numId w:val="8"/>
        </w:numPr>
        <w:spacing w:after="120"/>
        <w:ind w:left="799" w:hanging="357"/>
        <w:contextualSpacing w:val="0"/>
        <w:jc w:val="both"/>
        <w:rPr>
          <w:rFonts w:asciiTheme="majorHAnsi" w:hAnsiTheme="majorHAnsi"/>
          <w:lang w:val="lv-LV"/>
        </w:rPr>
      </w:pPr>
      <w:r>
        <w:rPr>
          <w:rFonts w:asciiTheme="majorHAnsi" w:hAnsiTheme="majorHAnsi"/>
          <w:lang w:val="lv-LV"/>
        </w:rPr>
        <w:t>Pētījuma</w:t>
      </w:r>
      <w:r w:rsidR="005D17B9" w:rsidRPr="00044AC3">
        <w:rPr>
          <w:rFonts w:asciiTheme="majorHAnsi" w:hAnsiTheme="majorHAnsi"/>
          <w:lang w:val="lv-LV"/>
        </w:rPr>
        <w:t xml:space="preserve"> lasītājs apzinās, ka šis</w:t>
      </w:r>
      <w:r>
        <w:rPr>
          <w:rFonts w:asciiTheme="majorHAnsi" w:hAnsiTheme="majorHAnsi"/>
          <w:lang w:val="lv-LV"/>
        </w:rPr>
        <w:t xml:space="preserve"> Pētījums ir</w:t>
      </w:r>
      <w:r w:rsidR="005D17B9" w:rsidRPr="00044AC3">
        <w:rPr>
          <w:rFonts w:asciiTheme="majorHAnsi" w:hAnsiTheme="majorHAnsi"/>
          <w:lang w:val="lv-LV"/>
        </w:rPr>
        <w:t xml:space="preserve"> sagatavots </w:t>
      </w:r>
      <w:r>
        <w:rPr>
          <w:rFonts w:asciiTheme="majorHAnsi" w:hAnsiTheme="majorHAnsi"/>
          <w:lang w:val="lv-LV"/>
        </w:rPr>
        <w:t>Latvijas Mediju ētikas padomes</w:t>
      </w:r>
      <w:r w:rsidR="005D17B9" w:rsidRPr="00044AC3">
        <w:rPr>
          <w:rFonts w:asciiTheme="majorHAnsi" w:hAnsiTheme="majorHAnsi"/>
          <w:lang w:val="lv-LV"/>
        </w:rPr>
        <w:t xml:space="preserve"> uzdevumā</w:t>
      </w:r>
      <w:r>
        <w:rPr>
          <w:rFonts w:asciiTheme="majorHAnsi" w:hAnsiTheme="majorHAnsi"/>
          <w:lang w:val="lv-LV"/>
        </w:rPr>
        <w:t xml:space="preserve"> konkrētā jautājumā – par mediju finansēšanu,</w:t>
      </w:r>
      <w:r w:rsidR="005D17B9" w:rsidRPr="00044AC3">
        <w:rPr>
          <w:rFonts w:asciiTheme="majorHAnsi" w:hAnsiTheme="majorHAnsi"/>
          <w:lang w:val="lv-LV"/>
        </w:rPr>
        <w:t xml:space="preserve"> un var nesaturēt </w:t>
      </w:r>
      <w:r>
        <w:rPr>
          <w:rFonts w:asciiTheme="majorHAnsi" w:hAnsiTheme="majorHAnsi"/>
          <w:lang w:val="lv-LV"/>
        </w:rPr>
        <w:t xml:space="preserve">citas </w:t>
      </w:r>
      <w:r w:rsidR="005D17B9" w:rsidRPr="00044AC3">
        <w:rPr>
          <w:rFonts w:asciiTheme="majorHAnsi" w:hAnsiTheme="majorHAnsi"/>
          <w:lang w:val="lv-LV"/>
        </w:rPr>
        <w:t xml:space="preserve">ziņas vai procedūras, kas varētu būt nepieciešamas </w:t>
      </w:r>
      <w:r>
        <w:rPr>
          <w:rFonts w:asciiTheme="majorHAnsi" w:hAnsiTheme="majorHAnsi"/>
          <w:lang w:val="lv-LV"/>
        </w:rPr>
        <w:t>Pētījuma</w:t>
      </w:r>
      <w:r w:rsidR="005D17B9" w:rsidRPr="00044AC3">
        <w:rPr>
          <w:rFonts w:asciiTheme="majorHAnsi" w:hAnsiTheme="majorHAnsi"/>
          <w:lang w:val="lv-LV"/>
        </w:rPr>
        <w:t xml:space="preserve"> lasītājam</w:t>
      </w:r>
      <w:r w:rsidR="001A5C1D">
        <w:rPr>
          <w:rFonts w:asciiTheme="majorHAnsi" w:hAnsiTheme="majorHAnsi"/>
          <w:lang w:val="lv-LV"/>
        </w:rPr>
        <w:t>;</w:t>
      </w:r>
    </w:p>
    <w:p w14:paraId="0D60C05B" w14:textId="793A9BFC" w:rsidR="005D17B9" w:rsidRPr="00044AC3" w:rsidRDefault="00886C37" w:rsidP="009C134F">
      <w:pPr>
        <w:pStyle w:val="ListNumber"/>
        <w:numPr>
          <w:ilvl w:val="0"/>
          <w:numId w:val="8"/>
        </w:numPr>
        <w:spacing w:after="120"/>
        <w:ind w:left="799" w:hanging="357"/>
        <w:contextualSpacing w:val="0"/>
        <w:jc w:val="both"/>
        <w:rPr>
          <w:rFonts w:asciiTheme="majorHAnsi" w:hAnsiTheme="majorHAnsi"/>
          <w:lang w:val="lv-LV"/>
        </w:rPr>
      </w:pPr>
      <w:r>
        <w:rPr>
          <w:rFonts w:asciiTheme="majorHAnsi" w:hAnsiTheme="majorHAnsi"/>
          <w:lang w:val="lv-LV"/>
        </w:rPr>
        <w:t>Pētījuma</w:t>
      </w:r>
      <w:r w:rsidR="005D17B9" w:rsidRPr="00044AC3">
        <w:rPr>
          <w:rFonts w:asciiTheme="majorHAnsi" w:hAnsiTheme="majorHAnsi"/>
          <w:lang w:val="lv-LV"/>
        </w:rPr>
        <w:t xml:space="preserve"> lasītājs piekrīt, ka ne PwC Legal, ne tā partneri, zvērināti advokāti vai tā darbinieki neuzņemas atbildību, kas var rasties no Līguma vai delikta, par zaudējumiem vai izdevumiem, kas lasītājam var rasties saistībā ar iepazīšanos ar šo </w:t>
      </w:r>
      <w:r>
        <w:rPr>
          <w:rFonts w:asciiTheme="majorHAnsi" w:hAnsiTheme="majorHAnsi"/>
          <w:lang w:val="lv-LV"/>
        </w:rPr>
        <w:t>Pētījumu</w:t>
      </w:r>
      <w:r w:rsidR="005D17B9" w:rsidRPr="00044AC3">
        <w:rPr>
          <w:rFonts w:asciiTheme="majorHAnsi" w:hAnsiTheme="majorHAnsi"/>
          <w:lang w:val="lv-LV"/>
        </w:rPr>
        <w:t>;</w:t>
      </w:r>
    </w:p>
    <w:p w14:paraId="53C00CA5" w14:textId="526BCE13" w:rsidR="005D17B9" w:rsidRPr="00044AC3" w:rsidRDefault="00967EAC" w:rsidP="009C134F">
      <w:pPr>
        <w:pStyle w:val="ListNumber"/>
        <w:numPr>
          <w:ilvl w:val="0"/>
          <w:numId w:val="8"/>
        </w:numPr>
        <w:spacing w:after="120"/>
        <w:ind w:left="799" w:hanging="357"/>
        <w:contextualSpacing w:val="0"/>
        <w:jc w:val="both"/>
        <w:rPr>
          <w:rFonts w:asciiTheme="majorHAnsi" w:hAnsiTheme="majorHAnsi"/>
          <w:lang w:val="lv-LV"/>
        </w:rPr>
      </w:pPr>
      <w:r>
        <w:rPr>
          <w:rFonts w:asciiTheme="majorHAnsi" w:hAnsiTheme="majorHAnsi"/>
          <w:lang w:val="lv-LV"/>
        </w:rPr>
        <w:t>Pētījums</w:t>
      </w:r>
      <w:r w:rsidR="005D17B9" w:rsidRPr="00044AC3">
        <w:rPr>
          <w:rFonts w:asciiTheme="majorHAnsi" w:hAnsiTheme="majorHAnsi"/>
          <w:lang w:val="lv-LV"/>
        </w:rPr>
        <w:t xml:space="preserve"> ir balstīts uz informāciju, faktiem un dokumentiem, kas</w:t>
      </w:r>
      <w:r>
        <w:rPr>
          <w:rFonts w:asciiTheme="majorHAnsi" w:hAnsiTheme="majorHAnsi"/>
          <w:lang w:val="lv-LV"/>
        </w:rPr>
        <w:t xml:space="preserve"> </w:t>
      </w:r>
      <w:r w:rsidR="00A94CA4">
        <w:rPr>
          <w:rFonts w:asciiTheme="majorHAnsi" w:hAnsiTheme="majorHAnsi"/>
          <w:lang w:val="lv-LV"/>
        </w:rPr>
        <w:t>PwC Legal</w:t>
      </w:r>
      <w:r w:rsidR="005D17B9" w:rsidRPr="00044AC3">
        <w:rPr>
          <w:rFonts w:asciiTheme="majorHAnsi" w:hAnsiTheme="majorHAnsi"/>
          <w:lang w:val="lv-LV"/>
        </w:rPr>
        <w:t xml:space="preserve"> ir bijuši pieejami šī </w:t>
      </w:r>
      <w:r>
        <w:rPr>
          <w:rFonts w:asciiTheme="majorHAnsi" w:hAnsiTheme="majorHAnsi"/>
          <w:lang w:val="lv-LV"/>
        </w:rPr>
        <w:t>Pētījuma</w:t>
      </w:r>
      <w:r w:rsidR="005D17B9" w:rsidRPr="00044AC3">
        <w:rPr>
          <w:rFonts w:asciiTheme="majorHAnsi" w:hAnsiTheme="majorHAnsi"/>
          <w:lang w:val="lv-LV"/>
        </w:rPr>
        <w:t xml:space="preserve"> sagatavošanas </w:t>
      </w:r>
      <w:r>
        <w:rPr>
          <w:rFonts w:asciiTheme="majorHAnsi" w:hAnsiTheme="majorHAnsi"/>
          <w:lang w:val="lv-LV"/>
        </w:rPr>
        <w:t>laikā</w:t>
      </w:r>
      <w:r w:rsidR="005D17B9" w:rsidRPr="00044AC3">
        <w:rPr>
          <w:rFonts w:asciiTheme="majorHAnsi" w:hAnsiTheme="majorHAnsi"/>
          <w:lang w:val="lv-LV"/>
        </w:rPr>
        <w:t>;</w:t>
      </w:r>
    </w:p>
    <w:p w14:paraId="09B1E884" w14:textId="425E9B35" w:rsidR="005D17B9" w:rsidRPr="00044AC3" w:rsidRDefault="005D17B9" w:rsidP="009C134F">
      <w:pPr>
        <w:pStyle w:val="ListNumber"/>
        <w:numPr>
          <w:ilvl w:val="0"/>
          <w:numId w:val="8"/>
        </w:numPr>
        <w:spacing w:after="120"/>
        <w:ind w:left="799" w:hanging="357"/>
        <w:contextualSpacing w:val="0"/>
        <w:jc w:val="both"/>
        <w:rPr>
          <w:rFonts w:asciiTheme="majorHAnsi" w:hAnsiTheme="majorHAnsi"/>
          <w:lang w:val="lv-LV"/>
        </w:rPr>
      </w:pPr>
      <w:r w:rsidRPr="00044AC3">
        <w:rPr>
          <w:rFonts w:asciiTheme="majorHAnsi" w:hAnsiTheme="majorHAnsi"/>
          <w:lang w:val="lv-LV"/>
        </w:rPr>
        <w:t xml:space="preserve">Ja pastāv jebkāds iemesls uzskatīt, ka </w:t>
      </w:r>
      <w:r w:rsidR="00AC1D5A">
        <w:rPr>
          <w:rFonts w:asciiTheme="majorHAnsi" w:hAnsiTheme="majorHAnsi"/>
          <w:lang w:val="lv-LV"/>
        </w:rPr>
        <w:t>PwC Legal</w:t>
      </w:r>
      <w:r w:rsidRPr="00044AC3">
        <w:rPr>
          <w:rFonts w:asciiTheme="majorHAnsi" w:hAnsiTheme="majorHAnsi"/>
          <w:lang w:val="lv-LV"/>
        </w:rPr>
        <w:t xml:space="preserve"> n</w:t>
      </w:r>
      <w:r w:rsidR="00AC1D5A">
        <w:rPr>
          <w:rFonts w:asciiTheme="majorHAnsi" w:hAnsiTheme="majorHAnsi"/>
          <w:lang w:val="lv-LV"/>
        </w:rPr>
        <w:t>av</w:t>
      </w:r>
      <w:r w:rsidRPr="00044AC3">
        <w:rPr>
          <w:rFonts w:asciiTheme="majorHAnsi" w:hAnsiTheme="majorHAnsi"/>
          <w:lang w:val="lv-LV"/>
        </w:rPr>
        <w:t xml:space="preserve"> informēt</w:t>
      </w:r>
      <w:r w:rsidR="00AC1D5A">
        <w:rPr>
          <w:rFonts w:asciiTheme="majorHAnsi" w:hAnsiTheme="majorHAnsi"/>
          <w:lang w:val="lv-LV"/>
        </w:rPr>
        <w:t>a</w:t>
      </w:r>
      <w:r w:rsidRPr="00044AC3">
        <w:rPr>
          <w:rFonts w:asciiTheme="majorHAnsi" w:hAnsiTheme="majorHAnsi"/>
          <w:lang w:val="lv-LV"/>
        </w:rPr>
        <w:t xml:space="preserve"> par visiem šī </w:t>
      </w:r>
      <w:r w:rsidR="00967EAC">
        <w:rPr>
          <w:rFonts w:asciiTheme="majorHAnsi" w:hAnsiTheme="majorHAnsi"/>
          <w:lang w:val="lv-LV"/>
        </w:rPr>
        <w:t>Pētījuma</w:t>
      </w:r>
      <w:r w:rsidRPr="00044AC3">
        <w:rPr>
          <w:rFonts w:asciiTheme="majorHAnsi" w:hAnsiTheme="majorHAnsi"/>
          <w:lang w:val="lv-LV"/>
        </w:rPr>
        <w:t xml:space="preserve"> sagatavošanai nozīmīgajiem faktiem, Jūsu pienākums ir nekavējoties informēt </w:t>
      </w:r>
      <w:r w:rsidR="00AC1D5A">
        <w:rPr>
          <w:rFonts w:asciiTheme="majorHAnsi" w:hAnsiTheme="majorHAnsi"/>
          <w:lang w:val="lv-LV"/>
        </w:rPr>
        <w:t>PwC Legal</w:t>
      </w:r>
      <w:r w:rsidRPr="00044AC3">
        <w:rPr>
          <w:rFonts w:asciiTheme="majorHAnsi" w:hAnsiTheme="majorHAnsi"/>
          <w:lang w:val="lv-LV"/>
        </w:rPr>
        <w:t xml:space="preserve">, lai, iepazīstoties ar attiecīgo informāciju, mēs varētu atbilstoši pielāgot šo </w:t>
      </w:r>
      <w:r w:rsidR="00967EAC">
        <w:rPr>
          <w:rFonts w:asciiTheme="majorHAnsi" w:hAnsiTheme="majorHAnsi"/>
          <w:lang w:val="lv-LV"/>
        </w:rPr>
        <w:t>Pētījumu</w:t>
      </w:r>
      <w:r w:rsidRPr="00044AC3">
        <w:rPr>
          <w:rFonts w:asciiTheme="majorHAnsi" w:hAnsiTheme="majorHAnsi"/>
          <w:lang w:val="lv-LV"/>
        </w:rPr>
        <w:t>;</w:t>
      </w:r>
    </w:p>
    <w:p w14:paraId="249C3186" w14:textId="41E4DD43" w:rsidR="005D17B9" w:rsidRPr="00967EAC" w:rsidRDefault="005D17B9" w:rsidP="00212138">
      <w:pPr>
        <w:pStyle w:val="ListNumber"/>
        <w:numPr>
          <w:ilvl w:val="0"/>
          <w:numId w:val="8"/>
        </w:numPr>
        <w:spacing w:after="120"/>
        <w:ind w:left="799" w:hanging="357"/>
        <w:contextualSpacing w:val="0"/>
        <w:jc w:val="both"/>
        <w:rPr>
          <w:rFonts w:asciiTheme="majorHAnsi" w:hAnsiTheme="majorHAnsi"/>
          <w:lang w:val="lv-LV"/>
        </w:rPr>
      </w:pPr>
      <w:r w:rsidRPr="00967EAC">
        <w:rPr>
          <w:rFonts w:asciiTheme="majorHAnsi" w:hAnsiTheme="majorHAnsi"/>
          <w:lang w:val="lv-LV"/>
        </w:rPr>
        <w:t xml:space="preserve">Papildus iepriekšminētajam, </w:t>
      </w:r>
      <w:r w:rsidR="00967EAC" w:rsidRPr="00967EAC">
        <w:rPr>
          <w:rFonts w:asciiTheme="majorHAnsi" w:hAnsiTheme="majorHAnsi"/>
          <w:lang w:val="lv-LV"/>
        </w:rPr>
        <w:t>Pētījuma</w:t>
      </w:r>
      <w:r w:rsidRPr="00967EAC">
        <w:rPr>
          <w:rFonts w:asciiTheme="majorHAnsi" w:hAnsiTheme="majorHAnsi"/>
          <w:lang w:val="lv-LV"/>
        </w:rPr>
        <w:t xml:space="preserve"> lasītājs piekrīt, ka uz šo </w:t>
      </w:r>
      <w:r w:rsidR="00967EAC" w:rsidRPr="00967EAC">
        <w:rPr>
          <w:rFonts w:asciiTheme="majorHAnsi" w:hAnsiTheme="majorHAnsi"/>
          <w:lang w:val="lv-LV"/>
        </w:rPr>
        <w:t>Pētījumu</w:t>
      </w:r>
      <w:r w:rsidRPr="00967EAC">
        <w:rPr>
          <w:rFonts w:asciiTheme="majorHAnsi" w:hAnsiTheme="majorHAnsi"/>
          <w:lang w:val="lv-LV"/>
        </w:rPr>
        <w:t xml:space="preserve"> nedrīkst atsaukties vai to citēt, ne pilnībā, ne kādā tā daļā, bez iepriekšējas PwC</w:t>
      </w:r>
      <w:r w:rsidR="00FF7B3D" w:rsidRPr="00967EAC">
        <w:rPr>
          <w:rFonts w:asciiTheme="majorHAnsi" w:hAnsiTheme="majorHAnsi"/>
          <w:lang w:val="lv-LV"/>
        </w:rPr>
        <w:t xml:space="preserve"> Legal</w:t>
      </w:r>
      <w:r w:rsidRPr="00967EAC">
        <w:rPr>
          <w:rFonts w:asciiTheme="majorHAnsi" w:hAnsiTheme="majorHAnsi"/>
          <w:lang w:val="lv-LV"/>
        </w:rPr>
        <w:t xml:space="preserve"> rakstiskas piekrišanas.</w:t>
      </w:r>
      <w:r w:rsidR="00A94CA4" w:rsidRPr="00967EAC">
        <w:rPr>
          <w:rFonts w:asciiTheme="majorHAnsi" w:hAnsiTheme="majorHAnsi"/>
          <w:lang w:val="lv-LV"/>
        </w:rPr>
        <w:t xml:space="preserve"> </w:t>
      </w:r>
      <w:r w:rsidR="00FC5EAA">
        <w:rPr>
          <w:rFonts w:asciiTheme="majorHAnsi" w:hAnsiTheme="majorHAnsi"/>
          <w:lang w:val="lv-LV"/>
        </w:rPr>
        <w:t xml:space="preserve">Latvijas Mediju ētikas padome var atsaukties un citēt šajā Pētījumā minētos argumentus, saskaņā ar Līgumu un sabiedrības informēšanas nolūkos. </w:t>
      </w:r>
    </w:p>
    <w:p w14:paraId="724615BC" w14:textId="76F04183" w:rsidR="005750B2" w:rsidRPr="00044AC3" w:rsidRDefault="005750B2" w:rsidP="00576701">
      <w:pPr>
        <w:pStyle w:val="NormalWeb"/>
        <w:spacing w:before="240"/>
        <w:jc w:val="both"/>
        <w:rPr>
          <w:rFonts w:asciiTheme="majorHAnsi" w:hAnsiTheme="majorHAnsi"/>
          <w:bCs/>
          <w:i/>
          <w:color w:val="E0301E" w:themeColor="accent4"/>
          <w:sz w:val="32"/>
          <w:szCs w:val="32"/>
          <w:lang w:val="lv-LV"/>
        </w:rPr>
      </w:pPr>
      <w:r w:rsidRPr="00044AC3">
        <w:rPr>
          <w:rFonts w:asciiTheme="majorHAnsi" w:hAnsiTheme="majorHAnsi"/>
          <w:bCs/>
          <w:i/>
          <w:color w:val="E0301E" w:themeColor="accent4"/>
          <w:sz w:val="32"/>
          <w:szCs w:val="32"/>
          <w:lang w:val="lv-LV"/>
        </w:rPr>
        <w:t>Juridiskā atruna</w:t>
      </w:r>
    </w:p>
    <w:p w14:paraId="1FD9F3F9" w14:textId="48F09771" w:rsidR="00044AC3" w:rsidRDefault="005750B2" w:rsidP="00C714FB">
      <w:pPr>
        <w:pStyle w:val="BodyText"/>
        <w:ind w:left="360"/>
        <w:jc w:val="both"/>
        <w:rPr>
          <w:rFonts w:asciiTheme="majorHAnsi" w:eastAsia="Times New Roman" w:hAnsiTheme="majorHAnsi" w:cs="Times New Roman"/>
          <w:color w:val="000000"/>
          <w:lang w:val="lv-LV" w:eastAsia="en-GB"/>
        </w:rPr>
      </w:pPr>
      <w:r w:rsidRPr="00044AC3">
        <w:rPr>
          <w:rFonts w:asciiTheme="majorHAnsi" w:eastAsia="Times New Roman" w:hAnsiTheme="majorHAnsi" w:cs="Times New Roman"/>
          <w:color w:val="000000"/>
          <w:lang w:val="lv-LV" w:eastAsia="en-GB"/>
        </w:rPr>
        <w:t>Š</w:t>
      </w:r>
      <w:r w:rsidR="00576701" w:rsidRPr="00044AC3">
        <w:rPr>
          <w:rFonts w:asciiTheme="majorHAnsi" w:eastAsia="Times New Roman" w:hAnsiTheme="majorHAnsi" w:cs="Times New Roman"/>
          <w:color w:val="000000"/>
          <w:lang w:val="lv-LV" w:eastAsia="en-GB"/>
        </w:rPr>
        <w:t xml:space="preserve">is </w:t>
      </w:r>
      <w:r w:rsidR="007926D7">
        <w:rPr>
          <w:rFonts w:asciiTheme="majorHAnsi" w:hAnsiTheme="majorHAnsi"/>
          <w:lang w:val="lv-LV"/>
        </w:rPr>
        <w:t>Pētījums</w:t>
      </w:r>
      <w:r w:rsidRPr="00044AC3">
        <w:rPr>
          <w:rFonts w:asciiTheme="majorHAnsi" w:eastAsia="Times New Roman" w:hAnsiTheme="majorHAnsi" w:cs="Times New Roman"/>
          <w:color w:val="000000"/>
          <w:lang w:val="lv-LV" w:eastAsia="en-GB"/>
        </w:rPr>
        <w:t xml:space="preserve"> ir sagatavot</w:t>
      </w:r>
      <w:r w:rsidR="00576701" w:rsidRPr="00044AC3">
        <w:rPr>
          <w:rFonts w:asciiTheme="majorHAnsi" w:eastAsia="Times New Roman" w:hAnsiTheme="majorHAnsi" w:cs="Times New Roman"/>
          <w:color w:val="000000"/>
          <w:lang w:val="lv-LV" w:eastAsia="en-GB"/>
        </w:rPr>
        <w:t>s</w:t>
      </w:r>
      <w:r w:rsidRPr="00044AC3">
        <w:rPr>
          <w:rFonts w:asciiTheme="majorHAnsi" w:eastAsia="Times New Roman" w:hAnsiTheme="majorHAnsi" w:cs="Times New Roman"/>
          <w:color w:val="000000"/>
          <w:lang w:val="lv-LV" w:eastAsia="en-GB"/>
        </w:rPr>
        <w:t xml:space="preserve"> tikai kā vispārīga informācija par </w:t>
      </w:r>
      <w:r w:rsidR="007926D7">
        <w:rPr>
          <w:rFonts w:asciiTheme="majorHAnsi" w:hAnsiTheme="majorHAnsi"/>
          <w:lang w:val="lv-LV"/>
        </w:rPr>
        <w:t xml:space="preserve">Latvijas Mediju ētikas padomei </w:t>
      </w:r>
      <w:r w:rsidRPr="00044AC3">
        <w:rPr>
          <w:rFonts w:asciiTheme="majorHAnsi" w:eastAsia="Times New Roman" w:hAnsiTheme="majorHAnsi" w:cs="Times New Roman"/>
          <w:color w:val="000000"/>
          <w:lang w:val="lv-LV" w:eastAsia="en-GB"/>
        </w:rPr>
        <w:t>interesējošiem jautājumiem un nav uzskatām</w:t>
      </w:r>
      <w:r w:rsidR="00576701" w:rsidRPr="00044AC3">
        <w:rPr>
          <w:rFonts w:asciiTheme="majorHAnsi" w:eastAsia="Times New Roman" w:hAnsiTheme="majorHAnsi" w:cs="Times New Roman"/>
          <w:color w:val="000000"/>
          <w:lang w:val="lv-LV" w:eastAsia="en-GB"/>
        </w:rPr>
        <w:t>s</w:t>
      </w:r>
      <w:r w:rsidRPr="00044AC3">
        <w:rPr>
          <w:rFonts w:asciiTheme="majorHAnsi" w:eastAsia="Times New Roman" w:hAnsiTheme="majorHAnsi" w:cs="Times New Roman"/>
          <w:color w:val="000000"/>
          <w:lang w:val="lv-LV" w:eastAsia="en-GB"/>
        </w:rPr>
        <w:t xml:space="preserve"> par profesionālu konsultāciju. Jums nevajadzētu veikt nekādas </w:t>
      </w:r>
      <w:r w:rsidR="007926D7">
        <w:rPr>
          <w:rFonts w:asciiTheme="majorHAnsi" w:eastAsia="Times New Roman" w:hAnsiTheme="majorHAnsi" w:cs="Times New Roman"/>
          <w:color w:val="000000"/>
          <w:lang w:val="lv-LV" w:eastAsia="en-GB"/>
        </w:rPr>
        <w:t xml:space="preserve">juridiskas </w:t>
      </w:r>
      <w:r w:rsidRPr="00044AC3">
        <w:rPr>
          <w:rFonts w:asciiTheme="majorHAnsi" w:eastAsia="Times New Roman" w:hAnsiTheme="majorHAnsi" w:cs="Times New Roman"/>
          <w:color w:val="000000"/>
          <w:lang w:val="lv-LV" w:eastAsia="en-GB"/>
        </w:rPr>
        <w:t xml:space="preserve">darbības, balstoties uz šajā </w:t>
      </w:r>
      <w:r w:rsidR="007926D7">
        <w:rPr>
          <w:rFonts w:asciiTheme="majorHAnsi" w:hAnsiTheme="majorHAnsi"/>
          <w:lang w:val="lv-LV"/>
        </w:rPr>
        <w:t>Pētījumā</w:t>
      </w:r>
      <w:r w:rsidRPr="00044AC3">
        <w:rPr>
          <w:rFonts w:asciiTheme="majorHAnsi" w:eastAsia="Times New Roman" w:hAnsiTheme="majorHAnsi" w:cs="Times New Roman"/>
          <w:color w:val="000000"/>
          <w:lang w:val="lv-LV" w:eastAsia="en-GB"/>
        </w:rPr>
        <w:t xml:space="preserve"> iekļauto informāciju, ja neesat saņēmis profesionālu konsultāciju konkrētā jautājumā. Mēs nesniedzam nekādu apliecinājumu vai garantiju (izteiktu vai noklusētu) par šajā </w:t>
      </w:r>
      <w:r w:rsidR="007926D7">
        <w:rPr>
          <w:rFonts w:asciiTheme="majorHAnsi" w:hAnsiTheme="majorHAnsi"/>
          <w:lang w:val="lv-LV"/>
        </w:rPr>
        <w:t>Pētījumā</w:t>
      </w:r>
      <w:r w:rsidRPr="00044AC3">
        <w:rPr>
          <w:rFonts w:asciiTheme="majorHAnsi" w:eastAsia="Times New Roman" w:hAnsiTheme="majorHAnsi" w:cs="Times New Roman"/>
          <w:color w:val="000000"/>
          <w:lang w:val="lv-LV" w:eastAsia="en-GB"/>
        </w:rPr>
        <w:t xml:space="preserve"> iekļautās informācijas precizitāti vai pilnīgumu, un spēkā esošo tiesību aktu noteiktajās robežās </w:t>
      </w:r>
      <w:r w:rsidR="00576701" w:rsidRPr="00044AC3">
        <w:rPr>
          <w:rFonts w:asciiTheme="majorHAnsi" w:eastAsia="Times New Roman" w:hAnsiTheme="majorHAnsi" w:cs="Times New Roman"/>
          <w:color w:val="000000"/>
          <w:lang w:val="lv-LV" w:eastAsia="en-GB"/>
        </w:rPr>
        <w:t>PwC Legal</w:t>
      </w:r>
      <w:r w:rsidRPr="00044AC3">
        <w:rPr>
          <w:rFonts w:asciiTheme="majorHAnsi" w:eastAsia="Times New Roman" w:hAnsiTheme="majorHAnsi" w:cs="Times New Roman"/>
          <w:color w:val="000000"/>
          <w:lang w:val="lv-LV" w:eastAsia="en-GB"/>
        </w:rPr>
        <w:t xml:space="preserve">, tā dalībnieki, darbinieki un pārstāvji neuzņemas nekādu atbildību vai rūpības pienākumu attiecībā uz jebkādām sekām, kas var rasties, ja Jūs vai jebkura cita persona veic vai neveic jebkādas darbības, balstoties uz šajā </w:t>
      </w:r>
      <w:r w:rsidR="007926D7">
        <w:rPr>
          <w:rFonts w:asciiTheme="majorHAnsi" w:hAnsiTheme="majorHAnsi"/>
          <w:lang w:val="lv-LV"/>
        </w:rPr>
        <w:t>Pētījumā</w:t>
      </w:r>
      <w:r w:rsidRPr="00044AC3">
        <w:rPr>
          <w:rFonts w:asciiTheme="majorHAnsi" w:eastAsia="Times New Roman" w:hAnsiTheme="majorHAnsi" w:cs="Times New Roman"/>
          <w:color w:val="000000"/>
          <w:lang w:val="lv-LV" w:eastAsia="en-GB"/>
        </w:rPr>
        <w:t xml:space="preserve"> iekļauto informāciju, vai attiecībā uz jebkādu lēmumu, kas pieņemts uz šajā </w:t>
      </w:r>
      <w:r w:rsidR="007926D7">
        <w:rPr>
          <w:rFonts w:asciiTheme="majorHAnsi" w:hAnsiTheme="majorHAnsi"/>
          <w:lang w:val="lv-LV"/>
        </w:rPr>
        <w:t>Pētījumā</w:t>
      </w:r>
      <w:r w:rsidRPr="00044AC3">
        <w:rPr>
          <w:rFonts w:asciiTheme="majorHAnsi" w:eastAsia="Times New Roman" w:hAnsiTheme="majorHAnsi" w:cs="Times New Roman"/>
          <w:color w:val="000000"/>
          <w:lang w:val="lv-LV" w:eastAsia="en-GB"/>
        </w:rPr>
        <w:t xml:space="preserve"> iekļautās</w:t>
      </w:r>
      <w:r w:rsidR="00991111" w:rsidRPr="00044AC3">
        <w:rPr>
          <w:rFonts w:asciiTheme="majorHAnsi" w:eastAsia="Times New Roman" w:hAnsiTheme="majorHAnsi" w:cs="Times New Roman"/>
          <w:color w:val="000000"/>
          <w:lang w:val="lv-LV" w:eastAsia="en-GB"/>
        </w:rPr>
        <w:t> </w:t>
      </w:r>
      <w:r w:rsidRPr="00044AC3">
        <w:rPr>
          <w:rFonts w:asciiTheme="majorHAnsi" w:eastAsia="Times New Roman" w:hAnsiTheme="majorHAnsi" w:cs="Times New Roman"/>
          <w:color w:val="000000"/>
          <w:lang w:val="lv-LV" w:eastAsia="en-GB"/>
        </w:rPr>
        <w:t>informācijas</w:t>
      </w:r>
      <w:r w:rsidR="00991111" w:rsidRPr="00044AC3">
        <w:rPr>
          <w:rFonts w:asciiTheme="majorHAnsi" w:eastAsia="Times New Roman" w:hAnsiTheme="majorHAnsi" w:cs="Times New Roman"/>
          <w:color w:val="000000"/>
          <w:lang w:val="lv-LV" w:eastAsia="en-GB"/>
        </w:rPr>
        <w:t> </w:t>
      </w:r>
      <w:r w:rsidRPr="00044AC3">
        <w:rPr>
          <w:rFonts w:asciiTheme="majorHAnsi" w:eastAsia="Times New Roman" w:hAnsiTheme="majorHAnsi" w:cs="Times New Roman"/>
          <w:color w:val="000000"/>
          <w:lang w:val="lv-LV" w:eastAsia="en-GB"/>
        </w:rPr>
        <w:t>pamata.</w:t>
      </w:r>
      <w:r w:rsidR="00626C69">
        <w:rPr>
          <w:rFonts w:asciiTheme="majorHAnsi" w:eastAsia="Times New Roman" w:hAnsiTheme="majorHAnsi" w:cs="Times New Roman"/>
          <w:color w:val="000000"/>
          <w:lang w:val="lv-LV" w:eastAsia="en-GB"/>
        </w:rPr>
        <w:t xml:space="preserve"> </w:t>
      </w:r>
    </w:p>
    <w:p w14:paraId="76ED765B" w14:textId="77777777" w:rsidR="00044AC3" w:rsidRDefault="00044AC3">
      <w:pPr>
        <w:rPr>
          <w:rFonts w:asciiTheme="majorHAnsi" w:eastAsia="Times New Roman" w:hAnsiTheme="majorHAnsi" w:cs="Times New Roman"/>
          <w:color w:val="000000"/>
          <w:lang w:val="lv-LV" w:eastAsia="en-GB"/>
        </w:rPr>
      </w:pPr>
      <w:r>
        <w:rPr>
          <w:rFonts w:asciiTheme="majorHAnsi" w:eastAsia="Times New Roman" w:hAnsiTheme="majorHAnsi" w:cs="Times New Roman"/>
          <w:color w:val="000000"/>
          <w:lang w:val="lv-LV" w:eastAsia="en-GB"/>
        </w:rPr>
        <w:br w:type="page"/>
      </w:r>
    </w:p>
    <w:p w14:paraId="743127AF" w14:textId="384C4B03" w:rsidR="00044AC3" w:rsidRPr="00044AC3" w:rsidRDefault="001350FF" w:rsidP="00F00F84">
      <w:pPr>
        <w:pStyle w:val="BodyText"/>
        <w:numPr>
          <w:ilvl w:val="0"/>
          <w:numId w:val="29"/>
        </w:numPr>
        <w:spacing w:before="240"/>
        <w:ind w:left="357" w:hanging="357"/>
        <w:jc w:val="both"/>
        <w:rPr>
          <w:i/>
          <w:color w:val="E0301E" w:themeColor="accent4"/>
          <w:sz w:val="32"/>
          <w:szCs w:val="32"/>
          <w:lang w:val="lv-LV"/>
        </w:rPr>
      </w:pPr>
      <w:r>
        <w:rPr>
          <w:rFonts w:asciiTheme="majorHAnsi" w:hAnsiTheme="majorHAnsi"/>
          <w:i/>
          <w:color w:val="E0301E" w:themeColor="accent4"/>
          <w:sz w:val="32"/>
          <w:szCs w:val="32"/>
          <w:lang w:val="lv-LV"/>
        </w:rPr>
        <w:lastRenderedPageBreak/>
        <w:t>Situācijas</w:t>
      </w:r>
      <w:r w:rsidR="00044AC3" w:rsidRPr="00044AC3">
        <w:rPr>
          <w:rFonts w:asciiTheme="majorHAnsi" w:hAnsiTheme="majorHAnsi"/>
          <w:i/>
          <w:color w:val="E0301E" w:themeColor="accent4"/>
          <w:sz w:val="32"/>
          <w:szCs w:val="32"/>
          <w:lang w:val="lv-LV"/>
        </w:rPr>
        <w:t xml:space="preserve"> ap</w:t>
      </w:r>
      <w:r>
        <w:rPr>
          <w:rFonts w:asciiTheme="majorHAnsi" w:hAnsiTheme="majorHAnsi"/>
          <w:i/>
          <w:color w:val="E0301E" w:themeColor="accent4"/>
          <w:sz w:val="32"/>
          <w:szCs w:val="32"/>
          <w:lang w:val="lv-LV"/>
        </w:rPr>
        <w:t>raksts, Pētījuma veikšanas mērķis un tvērums</w:t>
      </w:r>
    </w:p>
    <w:p w14:paraId="327B8FE9" w14:textId="73B11471" w:rsidR="00392722" w:rsidRDefault="004B0627" w:rsidP="00392722">
      <w:pPr>
        <w:pStyle w:val="BodyText"/>
        <w:numPr>
          <w:ilvl w:val="1"/>
          <w:numId w:val="29"/>
        </w:numPr>
        <w:spacing w:after="120"/>
        <w:ind w:left="788" w:hanging="431"/>
        <w:jc w:val="both"/>
        <w:rPr>
          <w:lang w:val="lv-LV"/>
        </w:rPr>
      </w:pPr>
      <w:r>
        <w:rPr>
          <w:lang w:val="lv-LV"/>
        </w:rPr>
        <w:t xml:space="preserve">Pētījums veikts balstoties uz </w:t>
      </w:r>
      <w:r w:rsidRPr="004D4003">
        <w:rPr>
          <w:lang w:val="lv-LV"/>
        </w:rPr>
        <w:t>Latvijas Mediju ētikas padomes</w:t>
      </w:r>
      <w:r>
        <w:rPr>
          <w:rStyle w:val="Emphasis"/>
          <w:rFonts w:asciiTheme="majorHAnsi" w:hAnsiTheme="majorHAnsi"/>
          <w:sz w:val="19"/>
          <w:szCs w:val="19"/>
          <w:lang w:val="lv-LV"/>
        </w:rPr>
        <w:t xml:space="preserve"> </w:t>
      </w:r>
      <w:r>
        <w:rPr>
          <w:rStyle w:val="Emphasis"/>
          <w:rFonts w:asciiTheme="majorHAnsi" w:hAnsiTheme="majorHAnsi"/>
          <w:i w:val="0"/>
          <w:iCs w:val="0"/>
          <w:sz w:val="19"/>
          <w:szCs w:val="19"/>
          <w:lang w:val="lv-LV"/>
        </w:rPr>
        <w:t>interesējo</w:t>
      </w:r>
      <w:r w:rsidR="004459D0">
        <w:rPr>
          <w:rStyle w:val="Emphasis"/>
          <w:rFonts w:asciiTheme="majorHAnsi" w:hAnsiTheme="majorHAnsi"/>
          <w:i w:val="0"/>
          <w:iCs w:val="0"/>
          <w:sz w:val="19"/>
          <w:szCs w:val="19"/>
          <w:lang w:val="lv-LV"/>
        </w:rPr>
        <w:t>šo</w:t>
      </w:r>
      <w:r>
        <w:rPr>
          <w:rStyle w:val="Emphasis"/>
          <w:rFonts w:asciiTheme="majorHAnsi" w:hAnsiTheme="majorHAnsi"/>
          <w:i w:val="0"/>
          <w:iCs w:val="0"/>
          <w:sz w:val="19"/>
          <w:szCs w:val="19"/>
          <w:lang w:val="lv-LV"/>
        </w:rPr>
        <w:t xml:space="preserve"> jautājum</w:t>
      </w:r>
      <w:r w:rsidR="004459D0">
        <w:rPr>
          <w:rStyle w:val="Emphasis"/>
          <w:rFonts w:asciiTheme="majorHAnsi" w:hAnsiTheme="majorHAnsi"/>
          <w:i w:val="0"/>
          <w:iCs w:val="0"/>
          <w:sz w:val="19"/>
          <w:szCs w:val="19"/>
          <w:lang w:val="lv-LV"/>
        </w:rPr>
        <w:t>u</w:t>
      </w:r>
      <w:r w:rsidR="00E57F48">
        <w:rPr>
          <w:rStyle w:val="Emphasis"/>
          <w:rFonts w:asciiTheme="majorHAnsi" w:hAnsiTheme="majorHAnsi"/>
          <w:i w:val="0"/>
          <w:iCs w:val="0"/>
          <w:sz w:val="19"/>
          <w:szCs w:val="19"/>
          <w:lang w:val="lv-LV"/>
        </w:rPr>
        <w:t xml:space="preserve"> - </w:t>
      </w:r>
      <w:r>
        <w:rPr>
          <w:rStyle w:val="Emphasis"/>
          <w:rFonts w:asciiTheme="majorHAnsi" w:hAnsiTheme="majorHAnsi"/>
          <w:i w:val="0"/>
          <w:iCs w:val="0"/>
          <w:sz w:val="19"/>
          <w:szCs w:val="19"/>
          <w:lang w:val="lv-LV"/>
        </w:rPr>
        <w:t>par</w:t>
      </w:r>
      <w:r w:rsidR="00F56C46">
        <w:rPr>
          <w:rStyle w:val="Emphasis"/>
          <w:rFonts w:asciiTheme="majorHAnsi" w:hAnsiTheme="majorHAnsi"/>
          <w:i w:val="0"/>
          <w:iCs w:val="0"/>
          <w:sz w:val="19"/>
          <w:szCs w:val="19"/>
          <w:lang w:val="lv-LV"/>
        </w:rPr>
        <w:t xml:space="preserve"> </w:t>
      </w:r>
      <w:r>
        <w:rPr>
          <w:rStyle w:val="Emphasis"/>
          <w:rFonts w:asciiTheme="majorHAnsi" w:hAnsiTheme="majorHAnsi"/>
          <w:i w:val="0"/>
          <w:iCs w:val="0"/>
          <w:sz w:val="19"/>
          <w:szCs w:val="19"/>
          <w:lang w:val="lv-LV"/>
        </w:rPr>
        <w:t xml:space="preserve">mediju finansēšanu no valsts budžeta līdzekļiem, </w:t>
      </w:r>
      <w:r w:rsidR="004D4003">
        <w:rPr>
          <w:rStyle w:val="Emphasis"/>
          <w:rFonts w:asciiTheme="majorHAnsi" w:hAnsiTheme="majorHAnsi"/>
          <w:i w:val="0"/>
          <w:iCs w:val="0"/>
          <w:sz w:val="19"/>
          <w:szCs w:val="19"/>
          <w:lang w:val="lv-LV"/>
        </w:rPr>
        <w:t xml:space="preserve">kā arī </w:t>
      </w:r>
      <w:r>
        <w:rPr>
          <w:rStyle w:val="Emphasis"/>
          <w:rFonts w:asciiTheme="majorHAnsi" w:hAnsiTheme="majorHAnsi"/>
          <w:i w:val="0"/>
          <w:iCs w:val="0"/>
          <w:sz w:val="19"/>
          <w:szCs w:val="19"/>
          <w:lang w:val="lv-LV"/>
        </w:rPr>
        <w:t>problemātiku, kas ar to saistīta</w:t>
      </w:r>
      <w:r w:rsidR="00E57F48">
        <w:rPr>
          <w:rStyle w:val="Emphasis"/>
          <w:rFonts w:asciiTheme="majorHAnsi" w:hAnsiTheme="majorHAnsi"/>
          <w:i w:val="0"/>
          <w:iCs w:val="0"/>
          <w:sz w:val="19"/>
          <w:szCs w:val="19"/>
          <w:lang w:val="lv-LV"/>
        </w:rPr>
        <w:t>.</w:t>
      </w:r>
      <w:r w:rsidR="00297DD4">
        <w:rPr>
          <w:rStyle w:val="Emphasis"/>
          <w:rFonts w:asciiTheme="majorHAnsi" w:hAnsiTheme="majorHAnsi"/>
          <w:i w:val="0"/>
          <w:iCs w:val="0"/>
          <w:sz w:val="19"/>
          <w:szCs w:val="19"/>
          <w:lang w:val="lv-LV"/>
        </w:rPr>
        <w:t xml:space="preserve"> Vispārīgi mediju atbalsts tiek definēts kā finansiāli vai nefinansiāli līdzekļi, kurus piešķir valsts vai privātās personas mediju organizācijām, mediju nozarei vai tās daļām, lai veidotu to struktūru un uzvedību.</w:t>
      </w:r>
      <w:r w:rsidR="00297DD4">
        <w:rPr>
          <w:rStyle w:val="FootnoteReference"/>
          <w:rFonts w:asciiTheme="majorHAnsi" w:hAnsiTheme="majorHAnsi"/>
          <w:sz w:val="19"/>
          <w:szCs w:val="19"/>
          <w:lang w:val="lv-LV"/>
        </w:rPr>
        <w:footnoteReference w:id="2"/>
      </w:r>
      <w:r w:rsidR="00E57F48">
        <w:rPr>
          <w:rStyle w:val="Emphasis"/>
          <w:rFonts w:asciiTheme="majorHAnsi" w:hAnsiTheme="majorHAnsi"/>
          <w:i w:val="0"/>
          <w:iCs w:val="0"/>
          <w:sz w:val="19"/>
          <w:szCs w:val="19"/>
          <w:lang w:val="lv-LV"/>
        </w:rPr>
        <w:t xml:space="preserve"> </w:t>
      </w:r>
      <w:r w:rsidR="00AC6844">
        <w:rPr>
          <w:rStyle w:val="Emphasis"/>
          <w:rFonts w:asciiTheme="majorHAnsi" w:hAnsiTheme="majorHAnsi"/>
          <w:i w:val="0"/>
          <w:iCs w:val="0"/>
          <w:sz w:val="19"/>
          <w:szCs w:val="19"/>
          <w:lang w:val="lv-LV"/>
        </w:rPr>
        <w:t xml:space="preserve">Valsts nodrošinātais mediju finansējums primāri iedalāms: 1) finansējumā sabiedriskajam medijam un 2) valsts atbalsts privātajam medijam. </w:t>
      </w:r>
      <w:r w:rsidR="00E57F48">
        <w:rPr>
          <w:rStyle w:val="Emphasis"/>
          <w:rFonts w:asciiTheme="majorHAnsi" w:hAnsiTheme="majorHAnsi"/>
          <w:i w:val="0"/>
          <w:iCs w:val="0"/>
          <w:sz w:val="19"/>
          <w:szCs w:val="19"/>
          <w:lang w:val="lv-LV"/>
        </w:rPr>
        <w:t>Kopsakarā Pētījumā apskatīta</w:t>
      </w:r>
      <w:r>
        <w:rPr>
          <w:rStyle w:val="Emphasis"/>
          <w:rFonts w:asciiTheme="majorHAnsi" w:hAnsiTheme="majorHAnsi"/>
          <w:i w:val="0"/>
          <w:iCs w:val="0"/>
          <w:sz w:val="19"/>
          <w:szCs w:val="19"/>
          <w:lang w:val="lv-LV"/>
        </w:rPr>
        <w:t xml:space="preserve"> </w:t>
      </w:r>
      <w:r w:rsidR="00E57F48">
        <w:rPr>
          <w:rStyle w:val="Emphasis"/>
          <w:rFonts w:asciiTheme="majorHAnsi" w:hAnsiTheme="majorHAnsi"/>
          <w:i w:val="0"/>
          <w:iCs w:val="0"/>
          <w:sz w:val="19"/>
          <w:szCs w:val="19"/>
          <w:lang w:val="lv-LV"/>
        </w:rPr>
        <w:t xml:space="preserve">mediju </w:t>
      </w:r>
      <w:r>
        <w:rPr>
          <w:rStyle w:val="Emphasis"/>
          <w:rFonts w:asciiTheme="majorHAnsi" w:hAnsiTheme="majorHAnsi"/>
          <w:i w:val="0"/>
          <w:iCs w:val="0"/>
          <w:sz w:val="19"/>
          <w:szCs w:val="19"/>
          <w:lang w:val="lv-LV"/>
        </w:rPr>
        <w:t>finansēšanas modeļu būtīb</w:t>
      </w:r>
      <w:r w:rsidR="00E57F48">
        <w:rPr>
          <w:rStyle w:val="Emphasis"/>
          <w:rFonts w:asciiTheme="majorHAnsi" w:hAnsiTheme="majorHAnsi"/>
          <w:i w:val="0"/>
          <w:iCs w:val="0"/>
          <w:sz w:val="19"/>
          <w:szCs w:val="19"/>
          <w:lang w:val="lv-LV"/>
        </w:rPr>
        <w:t>a</w:t>
      </w:r>
      <w:r>
        <w:rPr>
          <w:rStyle w:val="Emphasis"/>
          <w:rFonts w:asciiTheme="majorHAnsi" w:hAnsiTheme="majorHAnsi"/>
          <w:i w:val="0"/>
          <w:iCs w:val="0"/>
          <w:sz w:val="19"/>
          <w:szCs w:val="19"/>
          <w:lang w:val="lv-LV"/>
        </w:rPr>
        <w:t>, labāk</w:t>
      </w:r>
      <w:r w:rsidR="00E57F48">
        <w:rPr>
          <w:rStyle w:val="Emphasis"/>
          <w:rFonts w:asciiTheme="majorHAnsi" w:hAnsiTheme="majorHAnsi"/>
          <w:i w:val="0"/>
          <w:iCs w:val="0"/>
          <w:sz w:val="19"/>
          <w:szCs w:val="19"/>
          <w:lang w:val="lv-LV"/>
        </w:rPr>
        <w:t>ie</w:t>
      </w:r>
      <w:r>
        <w:rPr>
          <w:rStyle w:val="Emphasis"/>
          <w:rFonts w:asciiTheme="majorHAnsi" w:hAnsiTheme="majorHAnsi"/>
          <w:i w:val="0"/>
          <w:iCs w:val="0"/>
          <w:sz w:val="19"/>
          <w:szCs w:val="19"/>
          <w:lang w:val="lv-LV"/>
        </w:rPr>
        <w:t xml:space="preserve"> </w:t>
      </w:r>
      <w:r w:rsidR="00F56C46">
        <w:rPr>
          <w:rStyle w:val="Emphasis"/>
          <w:rFonts w:asciiTheme="majorHAnsi" w:hAnsiTheme="majorHAnsi"/>
          <w:i w:val="0"/>
          <w:iCs w:val="0"/>
          <w:sz w:val="19"/>
          <w:szCs w:val="19"/>
          <w:lang w:val="lv-LV"/>
        </w:rPr>
        <w:t>un</w:t>
      </w:r>
      <w:r>
        <w:rPr>
          <w:rStyle w:val="Emphasis"/>
          <w:rFonts w:asciiTheme="majorHAnsi" w:hAnsiTheme="majorHAnsi"/>
          <w:i w:val="0"/>
          <w:iCs w:val="0"/>
          <w:sz w:val="19"/>
          <w:szCs w:val="19"/>
          <w:lang w:val="lv-LV"/>
        </w:rPr>
        <w:t xml:space="preserve"> sliktāk</w:t>
      </w:r>
      <w:r w:rsidR="00E57F48">
        <w:rPr>
          <w:rStyle w:val="Emphasis"/>
          <w:rFonts w:asciiTheme="majorHAnsi" w:hAnsiTheme="majorHAnsi"/>
          <w:i w:val="0"/>
          <w:iCs w:val="0"/>
          <w:sz w:val="19"/>
          <w:szCs w:val="19"/>
          <w:lang w:val="lv-LV"/>
        </w:rPr>
        <w:t>ie</w:t>
      </w:r>
      <w:r>
        <w:rPr>
          <w:rStyle w:val="Emphasis"/>
          <w:rFonts w:asciiTheme="majorHAnsi" w:hAnsiTheme="majorHAnsi"/>
          <w:i w:val="0"/>
          <w:iCs w:val="0"/>
          <w:sz w:val="19"/>
          <w:szCs w:val="19"/>
          <w:lang w:val="lv-LV"/>
        </w:rPr>
        <w:t xml:space="preserve"> piemēri, kā arī Latvijai iespējam</w:t>
      </w:r>
      <w:r w:rsidR="004D4003">
        <w:rPr>
          <w:rStyle w:val="Emphasis"/>
          <w:rFonts w:asciiTheme="majorHAnsi" w:hAnsiTheme="majorHAnsi"/>
          <w:i w:val="0"/>
          <w:iCs w:val="0"/>
          <w:sz w:val="19"/>
          <w:szCs w:val="19"/>
          <w:lang w:val="lv-LV"/>
        </w:rPr>
        <w:t>i piemērotākā</w:t>
      </w:r>
      <w:r>
        <w:rPr>
          <w:rStyle w:val="Emphasis"/>
          <w:rFonts w:asciiTheme="majorHAnsi" w:hAnsiTheme="majorHAnsi"/>
          <w:i w:val="0"/>
          <w:iCs w:val="0"/>
          <w:sz w:val="19"/>
          <w:szCs w:val="19"/>
          <w:lang w:val="lv-LV"/>
        </w:rPr>
        <w:t xml:space="preserve"> </w:t>
      </w:r>
      <w:r w:rsidR="004D4003">
        <w:rPr>
          <w:rStyle w:val="Emphasis"/>
          <w:rFonts w:asciiTheme="majorHAnsi" w:hAnsiTheme="majorHAnsi"/>
          <w:i w:val="0"/>
          <w:iCs w:val="0"/>
          <w:sz w:val="19"/>
          <w:szCs w:val="19"/>
          <w:lang w:val="lv-LV"/>
        </w:rPr>
        <w:t xml:space="preserve">finansēšanas modeļa </w:t>
      </w:r>
      <w:r>
        <w:rPr>
          <w:rStyle w:val="Emphasis"/>
          <w:rFonts w:asciiTheme="majorHAnsi" w:hAnsiTheme="majorHAnsi"/>
          <w:i w:val="0"/>
          <w:iCs w:val="0"/>
          <w:sz w:val="19"/>
          <w:szCs w:val="19"/>
          <w:lang w:val="lv-LV"/>
        </w:rPr>
        <w:t>izvēl</w:t>
      </w:r>
      <w:r w:rsidR="00E57F48">
        <w:rPr>
          <w:rStyle w:val="Emphasis"/>
          <w:rFonts w:asciiTheme="majorHAnsi" w:hAnsiTheme="majorHAnsi"/>
          <w:i w:val="0"/>
          <w:iCs w:val="0"/>
          <w:sz w:val="19"/>
          <w:szCs w:val="19"/>
          <w:lang w:val="lv-LV"/>
        </w:rPr>
        <w:t xml:space="preserve">es </w:t>
      </w:r>
      <w:r w:rsidR="00F56C46">
        <w:rPr>
          <w:rStyle w:val="Emphasis"/>
          <w:rFonts w:asciiTheme="majorHAnsi" w:hAnsiTheme="majorHAnsi"/>
          <w:i w:val="0"/>
          <w:iCs w:val="0"/>
          <w:sz w:val="19"/>
          <w:szCs w:val="19"/>
          <w:lang w:val="lv-LV"/>
        </w:rPr>
        <w:t>ieteikums</w:t>
      </w:r>
      <w:r w:rsidR="00E57F48">
        <w:rPr>
          <w:rStyle w:val="Emphasis"/>
          <w:rFonts w:asciiTheme="majorHAnsi" w:hAnsiTheme="majorHAnsi"/>
          <w:i w:val="0"/>
          <w:iCs w:val="0"/>
          <w:sz w:val="19"/>
          <w:szCs w:val="19"/>
          <w:lang w:val="lv-LV"/>
        </w:rPr>
        <w:t>.</w:t>
      </w:r>
      <w:r w:rsidR="00C752E3">
        <w:rPr>
          <w:rStyle w:val="Emphasis"/>
          <w:rFonts w:asciiTheme="majorHAnsi" w:hAnsiTheme="majorHAnsi"/>
          <w:i w:val="0"/>
          <w:iCs w:val="0"/>
          <w:sz w:val="19"/>
          <w:szCs w:val="19"/>
          <w:lang w:val="lv-LV"/>
        </w:rPr>
        <w:t xml:space="preserve"> Konkrētajā Pētījumā </w:t>
      </w:r>
      <w:r w:rsidR="00782EE2">
        <w:rPr>
          <w:rStyle w:val="Emphasis"/>
          <w:rFonts w:asciiTheme="majorHAnsi" w:hAnsiTheme="majorHAnsi"/>
          <w:i w:val="0"/>
          <w:iCs w:val="0"/>
          <w:sz w:val="19"/>
          <w:szCs w:val="19"/>
          <w:lang w:val="lv-LV"/>
        </w:rPr>
        <w:t xml:space="preserve">uzsvars likts uz </w:t>
      </w:r>
      <w:r w:rsidR="00C752E3">
        <w:rPr>
          <w:rStyle w:val="Emphasis"/>
          <w:rFonts w:asciiTheme="majorHAnsi" w:hAnsiTheme="majorHAnsi"/>
          <w:i w:val="0"/>
          <w:iCs w:val="0"/>
          <w:sz w:val="19"/>
          <w:szCs w:val="19"/>
          <w:lang w:val="lv-LV"/>
        </w:rPr>
        <w:t>Latvijas sabiedrisko mediju finansēšanu no valsts budžeta līdzekļiem</w:t>
      </w:r>
      <w:r w:rsidR="00782EE2">
        <w:rPr>
          <w:rStyle w:val="Emphasis"/>
          <w:rFonts w:asciiTheme="majorHAnsi" w:hAnsiTheme="majorHAnsi"/>
          <w:i w:val="0"/>
          <w:iCs w:val="0"/>
          <w:sz w:val="19"/>
          <w:szCs w:val="19"/>
          <w:lang w:val="lv-LV"/>
        </w:rPr>
        <w:t xml:space="preserve">. </w:t>
      </w:r>
    </w:p>
    <w:p w14:paraId="5106C890" w14:textId="2DC41997" w:rsidR="005B04AB" w:rsidRDefault="00D31CB5" w:rsidP="00392722">
      <w:pPr>
        <w:pStyle w:val="BodyText"/>
        <w:numPr>
          <w:ilvl w:val="1"/>
          <w:numId w:val="29"/>
        </w:numPr>
        <w:spacing w:after="120"/>
        <w:ind w:left="788" w:hanging="431"/>
        <w:jc w:val="both"/>
        <w:rPr>
          <w:lang w:val="lv-LV"/>
        </w:rPr>
      </w:pPr>
      <w:r>
        <w:rPr>
          <w:lang w:val="lv-LV"/>
        </w:rPr>
        <w:t xml:space="preserve">Latvijas plašsaziņas līdzekļos jau vairākus gadus aktuāls ir temats par mediju finansēšanas līdzekļu palielināšanas nepieciešamību. </w:t>
      </w:r>
      <w:r w:rsidR="000A4E2E">
        <w:rPr>
          <w:lang w:val="lv-LV"/>
        </w:rPr>
        <w:t>Publiski vairākkārtīgi izskanējuši sabiedrisko mediju</w:t>
      </w:r>
      <w:r w:rsidR="00311F44">
        <w:rPr>
          <w:lang w:val="lv-LV"/>
        </w:rPr>
        <w:t xml:space="preserve"> pārstāvju un dalībnieku</w:t>
      </w:r>
      <w:r w:rsidR="000A4E2E">
        <w:rPr>
          <w:lang w:val="lv-LV"/>
        </w:rPr>
        <w:t xml:space="preserve"> viedokļi, ka valsts finansējums  sabiedriskajiem medijiem ir nepietiekams un to nākas ‘’salasīt’’ ar dažādiem finansēšanas instrumentiem</w:t>
      </w:r>
      <w:r w:rsidR="00FF6741">
        <w:rPr>
          <w:lang w:val="lv-LV"/>
        </w:rPr>
        <w:t xml:space="preserve">, taču rezultātā vienmēr kaut kam pietrūkst. </w:t>
      </w:r>
      <w:r w:rsidR="005B53C6">
        <w:rPr>
          <w:lang w:val="lv-LV"/>
        </w:rPr>
        <w:t>Reizē, sabiedriskajam medijam līdzšinēji nācies aktīvi darboties reklāmas tirgū, kas traucē komerciālajiem medijiem un ietekmē sabiedrisko mediju satura kvalitāti un darbību atbilstoši ētikas principiem.</w:t>
      </w:r>
      <w:r w:rsidR="005B53C6">
        <w:rPr>
          <w:rStyle w:val="FootnoteReference"/>
          <w:lang w:val="lv-LV"/>
        </w:rPr>
        <w:footnoteReference w:id="3"/>
      </w:r>
    </w:p>
    <w:p w14:paraId="51DFEEE3" w14:textId="6FE3925B" w:rsidR="00013997" w:rsidRDefault="00FB38A2" w:rsidP="000C5115">
      <w:pPr>
        <w:pStyle w:val="BodyText"/>
        <w:numPr>
          <w:ilvl w:val="1"/>
          <w:numId w:val="29"/>
        </w:numPr>
        <w:spacing w:after="120"/>
        <w:ind w:left="788" w:hanging="431"/>
        <w:jc w:val="both"/>
        <w:rPr>
          <w:lang w:val="lv-LV"/>
        </w:rPr>
      </w:pPr>
      <w:r>
        <w:rPr>
          <w:lang w:val="lv-LV"/>
        </w:rPr>
        <w:t>Nolūkā uzlabot sabiedrisko mediju finansēšanas stāvokli tikuši izvirzīti dažādi priekšlikumi un notikušas dažādas diskusijas.</w:t>
      </w:r>
      <w:r w:rsidR="00567115">
        <w:rPr>
          <w:rStyle w:val="FootnoteReference"/>
          <w:lang w:val="lv-LV"/>
        </w:rPr>
        <w:footnoteReference w:id="4"/>
      </w:r>
      <w:r>
        <w:rPr>
          <w:lang w:val="lv-LV"/>
        </w:rPr>
        <w:t xml:space="preserve"> Uz šī Pētījuma sastādīšanas brīdi, Saeima pieņēmusi jaunu likumu – ‘’Sabiedrisko elektronisko plašsaziņas līdzekļu un to pārvaldības likumu’’, kas stāsies spēkā 2021.gada 1.</w:t>
      </w:r>
      <w:r w:rsidRPr="005B53C6">
        <w:rPr>
          <w:lang w:val="lv-LV"/>
        </w:rPr>
        <w:t>janvārī.</w:t>
      </w:r>
      <w:r w:rsidR="005B53C6" w:rsidRPr="005B53C6">
        <w:rPr>
          <w:rStyle w:val="FootnoteReference"/>
          <w:lang w:val="lv-LV"/>
        </w:rPr>
        <w:footnoteReference w:id="5"/>
      </w:r>
      <w:r>
        <w:rPr>
          <w:lang w:val="lv-LV"/>
        </w:rPr>
        <w:t xml:space="preserve"> </w:t>
      </w:r>
      <w:r w:rsidR="00013997">
        <w:rPr>
          <w:lang w:val="lv-LV"/>
        </w:rPr>
        <w:t>Jaunais likums top jau kopš 2016.gada un paredz līdzšinējās mediju uzbūves sistēmas pārveidi. Ar šo regulējumu tiek izveidota Sabiedrisko elektronisko plašsaziņu līdzekļu padome (turpmāk – ‘’</w:t>
      </w:r>
      <w:r w:rsidR="00013997" w:rsidRPr="002A5320">
        <w:rPr>
          <w:b/>
          <w:bCs/>
          <w:lang w:val="lv-LV"/>
        </w:rPr>
        <w:t>SEPLP</w:t>
      </w:r>
      <w:r w:rsidR="00013997">
        <w:rPr>
          <w:lang w:val="lv-LV"/>
        </w:rPr>
        <w:t xml:space="preserve">’’), kas kontrolēs sabiedriskā pasūtījuma izstrādi un kontroli. No SEPLP kopumā 5 locekļiem </w:t>
      </w:r>
      <w:r w:rsidR="00C509AE">
        <w:rPr>
          <w:lang w:val="lv-LV"/>
        </w:rPr>
        <w:t>četrus amatā uz 4 gadiem izvirza valsts prezidents, ministru kabineta un nevalstisko organizāciju memoranda īstenošanas padome un Saeima. Ņemot vērā sabiedrisko mediju, valdības</w:t>
      </w:r>
      <w:r w:rsidR="00013997">
        <w:rPr>
          <w:lang w:val="lv-LV"/>
        </w:rPr>
        <w:t xml:space="preserve"> </w:t>
      </w:r>
      <w:r w:rsidR="00C509AE">
        <w:rPr>
          <w:lang w:val="lv-LV"/>
        </w:rPr>
        <w:t>un likumdevēj</w:t>
      </w:r>
      <w:r w:rsidR="00283A57">
        <w:rPr>
          <w:lang w:val="lv-LV"/>
        </w:rPr>
        <w:t>a ilgstoši</w:t>
      </w:r>
      <w:r w:rsidR="00C509AE">
        <w:rPr>
          <w:lang w:val="lv-LV"/>
        </w:rPr>
        <w:t xml:space="preserve"> saasinātās attiecības, šāda pieeja norādīta kā bīstama mediju neatkarībai</w:t>
      </w:r>
      <w:r w:rsidR="00155317">
        <w:rPr>
          <w:lang w:val="lv-LV"/>
        </w:rPr>
        <w:t>, kā arī</w:t>
      </w:r>
      <w:r w:rsidR="00C509AE">
        <w:rPr>
          <w:lang w:val="lv-LV"/>
        </w:rPr>
        <w:t xml:space="preserve"> </w:t>
      </w:r>
      <w:r w:rsidR="00283A57">
        <w:rPr>
          <w:lang w:val="lv-LV"/>
        </w:rPr>
        <w:t xml:space="preserve">kā vēl sliktāks variants nekā līdzšinēji bijis – </w:t>
      </w:r>
      <w:r w:rsidR="00155317">
        <w:rPr>
          <w:lang w:val="lv-LV"/>
        </w:rPr>
        <w:t xml:space="preserve">uz </w:t>
      </w:r>
      <w:r w:rsidR="00283A57">
        <w:rPr>
          <w:lang w:val="lv-LV"/>
        </w:rPr>
        <w:t>šādu aspektu norādījis Rīgas Stradiņa Universitātes Komunikācijas fakultātes prodekāns, profesors Ainārs Dimants.</w:t>
      </w:r>
      <w:r w:rsidR="00283A57">
        <w:rPr>
          <w:rStyle w:val="FootnoteReference"/>
          <w:lang w:val="lv-LV"/>
        </w:rPr>
        <w:footnoteReference w:id="6"/>
      </w:r>
      <w:r w:rsidR="008148DB">
        <w:rPr>
          <w:lang w:val="lv-LV"/>
        </w:rPr>
        <w:t xml:space="preserve"> Liela problēma šajā sakarā saistīta ar to, ka jaunajam likumam vajadzēja novērst finanšu nestabilitātes problēmu un noteikt iezīmētu budžetu mediju atbalstam. Tomēr, jaunais likums tika pieņemts bez šīs </w:t>
      </w:r>
      <w:r w:rsidR="008148DB" w:rsidRPr="00AD2DCA">
        <w:rPr>
          <w:lang w:val="lv-LV"/>
        </w:rPr>
        <w:t>svarīgās sastāvdaļas.</w:t>
      </w:r>
      <w:r w:rsidR="008148DB">
        <w:rPr>
          <w:lang w:val="lv-LV"/>
        </w:rPr>
        <w:t xml:space="preserve"> </w:t>
      </w:r>
    </w:p>
    <w:p w14:paraId="11B569F7" w14:textId="33E51EA5" w:rsidR="00A57E90" w:rsidRPr="000C5115" w:rsidRDefault="000C5115" w:rsidP="000C5115">
      <w:pPr>
        <w:pStyle w:val="BodyText"/>
        <w:numPr>
          <w:ilvl w:val="1"/>
          <w:numId w:val="29"/>
        </w:numPr>
        <w:spacing w:after="120"/>
        <w:ind w:left="788" w:hanging="431"/>
        <w:jc w:val="both"/>
        <w:rPr>
          <w:lang w:val="lv-LV"/>
        </w:rPr>
      </w:pPr>
      <w:r>
        <w:rPr>
          <w:lang w:val="lv-LV"/>
        </w:rPr>
        <w:t xml:space="preserve">Diskusijas par mediju finansēšanas pareizāko modeli </w:t>
      </w:r>
      <w:r w:rsidR="00326D00">
        <w:rPr>
          <w:lang w:val="lv-LV"/>
        </w:rPr>
        <w:t>tomēr vēl nav beigušās.</w:t>
      </w:r>
      <w:r w:rsidR="002A5320">
        <w:rPr>
          <w:lang w:val="lv-LV"/>
        </w:rPr>
        <w:t xml:space="preserve"> No publiski pieejamām ziņām redzams, ka sabiedrisko mediju finansēšanas jautājumā nozarei un valsts pārstāvjiem ir ļoti atšķirīgas nostājas – mediju p</w:t>
      </w:r>
      <w:r w:rsidR="00E87720">
        <w:rPr>
          <w:lang w:val="lv-LV"/>
        </w:rPr>
        <w:t>use</w:t>
      </w:r>
      <w:r w:rsidR="002A5320">
        <w:rPr>
          <w:lang w:val="lv-LV"/>
        </w:rPr>
        <w:t xml:space="preserve"> bieži min pārliecību, ka mediju finansēšanai jānodrošina 0,17% no iekšzemes kopprodukta (turpmāk – ‘’</w:t>
      </w:r>
      <w:r w:rsidR="002A5320" w:rsidRPr="002A5320">
        <w:rPr>
          <w:b/>
          <w:bCs/>
          <w:lang w:val="lv-LV"/>
        </w:rPr>
        <w:t>IKP</w:t>
      </w:r>
      <w:r w:rsidR="002A5320">
        <w:rPr>
          <w:lang w:val="lv-LV"/>
        </w:rPr>
        <w:t>’’), bet valsts pārstāvji – ka</w:t>
      </w:r>
      <w:r w:rsidR="00B9051E">
        <w:rPr>
          <w:lang w:val="lv-LV"/>
        </w:rPr>
        <w:t xml:space="preserve"> pašreizējo finanšu modeli nav jāmaina, un, ka šāda piesaisti IKP nav atbalstāma.</w:t>
      </w:r>
      <w:r w:rsidR="00B9051E">
        <w:rPr>
          <w:rStyle w:val="FootnoteReference"/>
          <w:lang w:val="lv-LV"/>
        </w:rPr>
        <w:footnoteReference w:id="7"/>
      </w:r>
      <w:r w:rsidR="00B9051E">
        <w:rPr>
          <w:lang w:val="lv-LV"/>
        </w:rPr>
        <w:t xml:space="preserve"> </w:t>
      </w:r>
      <w:r w:rsidR="00114FF0">
        <w:rPr>
          <w:lang w:val="lv-LV"/>
        </w:rPr>
        <w:t xml:space="preserve">Mediju nozares pārstāvji pauda neapmierinātību par pašreizējās situācijas nemainīšanu, jo finansiālās problēmas samilzušas līdz iepriekš neredzētiem apmēriem. </w:t>
      </w:r>
    </w:p>
    <w:p w14:paraId="19AA63E6" w14:textId="2333ED78" w:rsidR="00903A61" w:rsidRDefault="00903A61" w:rsidP="00903A61">
      <w:pPr>
        <w:pStyle w:val="BodyText"/>
        <w:spacing w:after="120"/>
        <w:jc w:val="both"/>
        <w:rPr>
          <w:lang w:val="lv-LV"/>
        </w:rPr>
      </w:pPr>
    </w:p>
    <w:p w14:paraId="1A29CD64" w14:textId="50B94307" w:rsidR="00036273" w:rsidRDefault="00036273" w:rsidP="00903A61">
      <w:pPr>
        <w:pStyle w:val="BodyText"/>
        <w:spacing w:after="120"/>
        <w:jc w:val="both"/>
        <w:rPr>
          <w:lang w:val="lv-LV"/>
        </w:rPr>
      </w:pPr>
    </w:p>
    <w:p w14:paraId="6E4D4B3E" w14:textId="77777777" w:rsidR="00036273" w:rsidRPr="00F00F84" w:rsidRDefault="00036273" w:rsidP="00903A61">
      <w:pPr>
        <w:pStyle w:val="BodyText"/>
        <w:spacing w:after="120"/>
        <w:jc w:val="both"/>
        <w:rPr>
          <w:lang w:val="lv-LV"/>
        </w:rPr>
      </w:pPr>
    </w:p>
    <w:p w14:paraId="71149C08" w14:textId="1BE11436" w:rsidR="00392722" w:rsidRPr="00F00F84" w:rsidRDefault="00F05B55" w:rsidP="00D91FDD">
      <w:pPr>
        <w:pStyle w:val="BodyText"/>
        <w:numPr>
          <w:ilvl w:val="0"/>
          <w:numId w:val="29"/>
        </w:numPr>
        <w:spacing w:before="240"/>
        <w:ind w:left="357" w:hanging="357"/>
        <w:jc w:val="both"/>
        <w:rPr>
          <w:rFonts w:asciiTheme="majorHAnsi" w:hAnsiTheme="majorHAnsi"/>
          <w:i/>
          <w:color w:val="E0301E" w:themeColor="accent4"/>
          <w:sz w:val="32"/>
          <w:szCs w:val="32"/>
          <w:lang w:val="lv-LV"/>
        </w:rPr>
      </w:pPr>
      <w:r>
        <w:rPr>
          <w:rFonts w:asciiTheme="majorHAnsi" w:hAnsiTheme="majorHAnsi"/>
          <w:i/>
          <w:color w:val="E0301E" w:themeColor="accent4"/>
          <w:sz w:val="32"/>
          <w:szCs w:val="32"/>
          <w:lang w:val="lv-LV"/>
        </w:rPr>
        <w:lastRenderedPageBreak/>
        <w:t>Mediju finansēšanas būtība, tās nepieciešamība. Mediju finansēšanas saistība ar citām nozarēm, mediju ētiku un neatkarību.</w:t>
      </w:r>
    </w:p>
    <w:p w14:paraId="4BC3D9F7" w14:textId="3C01950C" w:rsidR="00A75C1E" w:rsidRPr="00C54088" w:rsidRDefault="00A75C1E" w:rsidP="00A75C1E">
      <w:pPr>
        <w:pStyle w:val="BodyText"/>
        <w:numPr>
          <w:ilvl w:val="1"/>
          <w:numId w:val="29"/>
        </w:numPr>
        <w:spacing w:after="120"/>
        <w:jc w:val="both"/>
        <w:rPr>
          <w:lang w:val="lv-LV"/>
        </w:rPr>
      </w:pPr>
      <w:r w:rsidRPr="00A75C1E">
        <w:rPr>
          <w:rFonts w:asciiTheme="majorHAnsi" w:hAnsiTheme="majorHAnsi"/>
          <w:lang w:val="lv-LV"/>
        </w:rPr>
        <w:t>Mediju finansēšana ir plaši pētīts jautājums, jo demokrātiskā sabiedrībā medijiem ir ļoti svarīga loma – izklāstīt sabiedrībai notikumus, viedokļus un sniegt pēc iespējas daudzpusīgāku, objektīvu informāciju, lai tā varētu atbilstoši rīkoties un plānot savu dzīvi.</w:t>
      </w:r>
      <w:r w:rsidRPr="00A75C1E">
        <w:rPr>
          <w:rFonts w:asciiTheme="majorHAnsi" w:hAnsiTheme="majorHAnsi"/>
          <w:vertAlign w:val="superscript"/>
          <w:lang w:val="lv-LV"/>
        </w:rPr>
        <w:footnoteReference w:id="8"/>
      </w:r>
      <w:r w:rsidRPr="00A75C1E">
        <w:rPr>
          <w:rFonts w:asciiTheme="majorHAnsi" w:hAnsiTheme="majorHAnsi"/>
          <w:lang w:val="lv-LV"/>
        </w:rPr>
        <w:t xml:space="preserve"> Pretējā gadījumā iespējama sabiedrības masveida dezinformācija, kas noved gan pie sociāli, gan ekonomiski negatīvām sekām. </w:t>
      </w:r>
      <w:r w:rsidR="002B7905">
        <w:rPr>
          <w:rFonts w:asciiTheme="majorHAnsi" w:hAnsiTheme="majorHAnsi"/>
          <w:lang w:val="lv-LV"/>
        </w:rPr>
        <w:t>Neatkarīgs un ētikas standartiem atbilstošs medijs ir stingrs demokrātiskās sabiedrības balsts un viens no pamatiem, lai konstatētu demokrātiskas tiesiskas valsts pastāvēšanu.</w:t>
      </w:r>
      <w:r w:rsidR="002B7905">
        <w:rPr>
          <w:rStyle w:val="FootnoteReference"/>
          <w:rFonts w:asciiTheme="majorHAnsi" w:hAnsiTheme="majorHAnsi"/>
          <w:lang w:val="lv-LV"/>
        </w:rPr>
        <w:footnoteReference w:id="9"/>
      </w:r>
      <w:r w:rsidRPr="00A75C1E">
        <w:rPr>
          <w:rFonts w:asciiTheme="majorHAnsi" w:hAnsiTheme="majorHAnsi"/>
          <w:lang w:val="lv-LV"/>
        </w:rPr>
        <w:t xml:space="preserve"> Medijs, kas nespēj operēt ar finansiāli labiem rādītājiem, ātri nokļūst lejupejošā situācijā un nespēj producēt kvalitatīvu saturu, kā arī nodrošināt sev nepieciešamo operāciju izpildi. Tas ātri noved pie situācijas, kad medijs vairs nespēj nodrošināt savas funkcijas, segt izmaksas un nespēj investēt savās</w:t>
      </w:r>
      <w:r>
        <w:rPr>
          <w:rFonts w:asciiTheme="majorHAnsi" w:hAnsiTheme="majorHAnsi"/>
          <w:lang w:val="lv-LV"/>
        </w:rPr>
        <w:t xml:space="preserve"> </w:t>
      </w:r>
      <w:r w:rsidRPr="00A75C1E">
        <w:rPr>
          <w:rFonts w:asciiTheme="majorHAnsi" w:hAnsiTheme="majorHAnsi"/>
          <w:lang w:val="lv-LV"/>
        </w:rPr>
        <w:t>vajadzībās, kas rezultējas medija eksistences izbeigšanā.</w:t>
      </w:r>
      <w:r w:rsidRPr="00A75C1E">
        <w:rPr>
          <w:rFonts w:asciiTheme="majorHAnsi" w:hAnsiTheme="majorHAnsi"/>
          <w:vertAlign w:val="superscript"/>
          <w:lang w:val="lv-LV"/>
        </w:rPr>
        <w:footnoteReference w:id="10"/>
      </w:r>
      <w:r w:rsidRPr="00A75C1E">
        <w:rPr>
          <w:rFonts w:asciiTheme="majorHAnsi" w:hAnsiTheme="majorHAnsi"/>
          <w:lang w:val="lv-LV"/>
        </w:rPr>
        <w:t xml:space="preserve"> Savukārt medijs, kas operē finansiāli labi, ir spējīgs nodrošināt visas sev nepieciešamās operācijas, veidot neatkarīgu un kvalitatīvu saturu, uzturēt un uzlabot tehnisko nodrošinājumu, ieguldīt personālā, kā arī ieguldīt savā attīstībā un segt nepieciešamās izmaksas.</w:t>
      </w:r>
      <w:r w:rsidRPr="00A75C1E">
        <w:rPr>
          <w:rFonts w:asciiTheme="majorHAnsi" w:hAnsiTheme="majorHAnsi"/>
          <w:vertAlign w:val="superscript"/>
          <w:lang w:val="lv-LV"/>
        </w:rPr>
        <w:footnoteReference w:id="11"/>
      </w:r>
      <w:r w:rsidRPr="00A75C1E">
        <w:rPr>
          <w:rFonts w:asciiTheme="majorHAnsi" w:hAnsiTheme="majorHAnsi"/>
          <w:lang w:val="lv-LV"/>
        </w:rPr>
        <w:t xml:space="preserve"> No Latvijas sabiedrisko mediju pārstāvju publiski paustās informācijas</w:t>
      </w:r>
      <w:r w:rsidRPr="00A75C1E">
        <w:rPr>
          <w:rFonts w:asciiTheme="majorHAnsi" w:hAnsiTheme="majorHAnsi"/>
          <w:vertAlign w:val="superscript"/>
          <w:lang w:val="lv-LV"/>
        </w:rPr>
        <w:footnoteReference w:id="12"/>
      </w:r>
      <w:r>
        <w:rPr>
          <w:rFonts w:asciiTheme="majorHAnsi" w:hAnsiTheme="majorHAnsi"/>
          <w:lang w:val="lv-LV"/>
        </w:rPr>
        <w:t xml:space="preserve"> </w:t>
      </w:r>
      <w:r>
        <w:rPr>
          <w:lang w:val="lv-LV"/>
        </w:rPr>
        <w:t xml:space="preserve">vairāk saskatāmas pazīmes, kas liecina par mediju nespēju veikt visas nepieciešamās operācijas un veidot kvalitatīvu saturu, sliecoties uz negatīvu skatu </w:t>
      </w:r>
      <w:r w:rsidR="00690324">
        <w:rPr>
          <w:lang w:val="lv-LV"/>
        </w:rPr>
        <w:t xml:space="preserve">Latvijas </w:t>
      </w:r>
      <w:r>
        <w:rPr>
          <w:lang w:val="lv-LV"/>
        </w:rPr>
        <w:t>mediju nākotn</w:t>
      </w:r>
      <w:r w:rsidR="00690324">
        <w:rPr>
          <w:lang w:val="lv-LV"/>
        </w:rPr>
        <w:t>ē.</w:t>
      </w:r>
    </w:p>
    <w:p w14:paraId="057789F8" w14:textId="7E59EEDE" w:rsidR="00131BB3" w:rsidRDefault="003217CB" w:rsidP="00131BB3">
      <w:pPr>
        <w:pStyle w:val="BodyText"/>
        <w:numPr>
          <w:ilvl w:val="1"/>
          <w:numId w:val="29"/>
        </w:numPr>
        <w:spacing w:after="120"/>
        <w:jc w:val="both"/>
        <w:rPr>
          <w:rFonts w:asciiTheme="majorHAnsi" w:hAnsiTheme="majorHAnsi"/>
          <w:lang w:val="lv-LV"/>
        </w:rPr>
      </w:pPr>
      <w:r>
        <w:rPr>
          <w:rFonts w:asciiTheme="majorHAnsi" w:hAnsiTheme="majorHAnsi"/>
          <w:lang w:val="lv-LV"/>
        </w:rPr>
        <w:t xml:space="preserve">Mediju Ētikas </w:t>
      </w:r>
      <w:r w:rsidR="007E39EE">
        <w:rPr>
          <w:rFonts w:asciiTheme="majorHAnsi" w:hAnsiTheme="majorHAnsi"/>
          <w:lang w:val="lv-LV"/>
        </w:rPr>
        <w:t>normas</w:t>
      </w:r>
      <w:r>
        <w:rPr>
          <w:rFonts w:asciiTheme="majorHAnsi" w:hAnsiTheme="majorHAnsi"/>
          <w:lang w:val="lv-LV"/>
        </w:rPr>
        <w:t xml:space="preserve"> gan starptautiski, gan nacionālā </w:t>
      </w:r>
      <w:r w:rsidR="007E39EE">
        <w:rPr>
          <w:rFonts w:asciiTheme="majorHAnsi" w:hAnsiTheme="majorHAnsi"/>
          <w:lang w:val="lv-LV"/>
        </w:rPr>
        <w:t xml:space="preserve">nozīmē atspoguļo vienus un tos pašus žurnālistikas pamata standartus: </w:t>
      </w:r>
      <w:r w:rsidR="00944E62">
        <w:rPr>
          <w:rFonts w:asciiTheme="majorHAnsi" w:hAnsiTheme="majorHAnsi"/>
          <w:lang w:val="lv-LV"/>
        </w:rPr>
        <w:t>žurnālista (reizē medija) neatkarīb</w:t>
      </w:r>
      <w:r w:rsidR="0042001C">
        <w:rPr>
          <w:rFonts w:asciiTheme="majorHAnsi" w:hAnsiTheme="majorHAnsi"/>
          <w:lang w:val="lv-LV"/>
        </w:rPr>
        <w:t>as</w:t>
      </w:r>
      <w:r w:rsidR="00944E62">
        <w:rPr>
          <w:rFonts w:asciiTheme="majorHAnsi" w:hAnsiTheme="majorHAnsi"/>
          <w:lang w:val="lv-LV"/>
        </w:rPr>
        <w:t>, objektivitāt</w:t>
      </w:r>
      <w:r w:rsidR="0042001C">
        <w:rPr>
          <w:rFonts w:asciiTheme="majorHAnsi" w:hAnsiTheme="majorHAnsi"/>
          <w:lang w:val="lv-LV"/>
        </w:rPr>
        <w:t>es</w:t>
      </w:r>
      <w:r w:rsidR="00944E62">
        <w:rPr>
          <w:rFonts w:asciiTheme="majorHAnsi" w:hAnsiTheme="majorHAnsi"/>
          <w:lang w:val="lv-LV"/>
        </w:rPr>
        <w:t>, godīgum</w:t>
      </w:r>
      <w:r w:rsidR="0042001C">
        <w:rPr>
          <w:rFonts w:asciiTheme="majorHAnsi" w:hAnsiTheme="majorHAnsi"/>
          <w:lang w:val="lv-LV"/>
        </w:rPr>
        <w:t>a</w:t>
      </w:r>
      <w:r w:rsidR="00944E62">
        <w:rPr>
          <w:rFonts w:asciiTheme="majorHAnsi" w:hAnsiTheme="majorHAnsi"/>
          <w:lang w:val="lv-LV"/>
        </w:rPr>
        <w:t>, autonomij</w:t>
      </w:r>
      <w:r w:rsidR="0042001C">
        <w:rPr>
          <w:rFonts w:asciiTheme="majorHAnsi" w:hAnsiTheme="majorHAnsi"/>
          <w:lang w:val="lv-LV"/>
        </w:rPr>
        <w:t>as</w:t>
      </w:r>
      <w:r w:rsidR="00944E62">
        <w:rPr>
          <w:rFonts w:asciiTheme="majorHAnsi" w:hAnsiTheme="majorHAnsi"/>
          <w:lang w:val="lv-LV"/>
        </w:rPr>
        <w:t>, brīvīb</w:t>
      </w:r>
      <w:r w:rsidR="0042001C">
        <w:rPr>
          <w:rFonts w:asciiTheme="majorHAnsi" w:hAnsiTheme="majorHAnsi"/>
          <w:lang w:val="lv-LV"/>
        </w:rPr>
        <w:t>as</w:t>
      </w:r>
      <w:r w:rsidR="00944E62">
        <w:rPr>
          <w:rFonts w:asciiTheme="majorHAnsi" w:hAnsiTheme="majorHAnsi"/>
          <w:lang w:val="lv-LV"/>
        </w:rPr>
        <w:t>, uzticamīb</w:t>
      </w:r>
      <w:r w:rsidR="0042001C">
        <w:rPr>
          <w:rFonts w:asciiTheme="majorHAnsi" w:hAnsiTheme="majorHAnsi"/>
          <w:lang w:val="lv-LV"/>
        </w:rPr>
        <w:t>as</w:t>
      </w:r>
      <w:r w:rsidR="00944E62">
        <w:rPr>
          <w:rFonts w:asciiTheme="majorHAnsi" w:hAnsiTheme="majorHAnsi"/>
          <w:lang w:val="lv-LV"/>
        </w:rPr>
        <w:t>, cilvēktiesību ievērošan</w:t>
      </w:r>
      <w:r w:rsidR="0042001C">
        <w:rPr>
          <w:rFonts w:asciiTheme="majorHAnsi" w:hAnsiTheme="majorHAnsi"/>
          <w:lang w:val="lv-LV"/>
        </w:rPr>
        <w:t>as</w:t>
      </w:r>
      <w:r w:rsidR="00944E62">
        <w:rPr>
          <w:rFonts w:asciiTheme="majorHAnsi" w:hAnsiTheme="majorHAnsi"/>
          <w:lang w:val="lv-LV"/>
        </w:rPr>
        <w:t xml:space="preserve"> un cieņ</w:t>
      </w:r>
      <w:r w:rsidR="0042001C">
        <w:rPr>
          <w:rFonts w:asciiTheme="majorHAnsi" w:hAnsiTheme="majorHAnsi"/>
          <w:lang w:val="lv-LV"/>
        </w:rPr>
        <w:t>as</w:t>
      </w:r>
      <w:r w:rsidR="00944E62">
        <w:rPr>
          <w:rFonts w:asciiTheme="majorHAnsi" w:hAnsiTheme="majorHAnsi"/>
          <w:lang w:val="lv-LV"/>
        </w:rPr>
        <w:t xml:space="preserve">, </w:t>
      </w:r>
      <w:r w:rsidR="009B56AA">
        <w:rPr>
          <w:rFonts w:asciiTheme="majorHAnsi" w:hAnsiTheme="majorHAnsi"/>
          <w:lang w:val="lv-LV"/>
        </w:rPr>
        <w:t xml:space="preserve">kā arī </w:t>
      </w:r>
      <w:r w:rsidR="00944E62">
        <w:rPr>
          <w:rFonts w:asciiTheme="majorHAnsi" w:hAnsiTheme="majorHAnsi"/>
          <w:lang w:val="lv-LV"/>
        </w:rPr>
        <w:t>godprātīgum</w:t>
      </w:r>
      <w:r w:rsidR="0042001C">
        <w:rPr>
          <w:rFonts w:asciiTheme="majorHAnsi" w:hAnsiTheme="majorHAnsi"/>
          <w:lang w:val="lv-LV"/>
        </w:rPr>
        <w:t>a</w:t>
      </w:r>
      <w:r w:rsidR="009B56AA">
        <w:rPr>
          <w:rFonts w:asciiTheme="majorHAnsi" w:hAnsiTheme="majorHAnsi"/>
          <w:lang w:val="lv-LV"/>
        </w:rPr>
        <w:t xml:space="preserve"> </w:t>
      </w:r>
      <w:r w:rsidR="0042001C">
        <w:rPr>
          <w:rFonts w:asciiTheme="majorHAnsi" w:hAnsiTheme="majorHAnsi"/>
          <w:lang w:val="lv-LV"/>
        </w:rPr>
        <w:t>nepieciešamību medija satura veidošanā.</w:t>
      </w:r>
      <w:r w:rsidR="00944E62">
        <w:rPr>
          <w:rStyle w:val="FootnoteReference"/>
          <w:rFonts w:asciiTheme="majorHAnsi" w:hAnsiTheme="majorHAnsi"/>
          <w:lang w:val="lv-LV"/>
        </w:rPr>
        <w:footnoteReference w:id="13"/>
      </w:r>
      <w:r w:rsidR="00D34593">
        <w:rPr>
          <w:rFonts w:asciiTheme="majorHAnsi" w:hAnsiTheme="majorHAnsi"/>
          <w:lang w:val="lv-LV"/>
        </w:rPr>
        <w:t xml:space="preserve"> </w:t>
      </w:r>
      <w:r w:rsidR="00131BB3">
        <w:rPr>
          <w:rFonts w:asciiTheme="majorHAnsi" w:hAnsiTheme="majorHAnsi"/>
          <w:lang w:val="lv-LV"/>
        </w:rPr>
        <w:t>Medija spēja sagatavot un publicēt augstam ētikas standartam atbilstošu saturu</w:t>
      </w:r>
      <w:r w:rsidR="00EE0486">
        <w:rPr>
          <w:rFonts w:asciiTheme="majorHAnsi" w:hAnsiTheme="majorHAnsi"/>
          <w:lang w:val="lv-LV"/>
        </w:rPr>
        <w:t>,</w:t>
      </w:r>
      <w:r w:rsidR="00131BB3">
        <w:rPr>
          <w:rFonts w:asciiTheme="majorHAnsi" w:hAnsiTheme="majorHAnsi"/>
          <w:lang w:val="lv-LV"/>
        </w:rPr>
        <w:t xml:space="preserve"> spēj tikai </w:t>
      </w:r>
      <w:r w:rsidR="00AD744C">
        <w:rPr>
          <w:rFonts w:asciiTheme="majorHAnsi" w:hAnsiTheme="majorHAnsi"/>
          <w:lang w:val="lv-LV"/>
        </w:rPr>
        <w:t>finansiāli stabils medijs</w:t>
      </w:r>
      <w:r w:rsidR="005F5FA3">
        <w:rPr>
          <w:rFonts w:asciiTheme="majorHAnsi" w:hAnsiTheme="majorHAnsi"/>
          <w:lang w:val="lv-LV"/>
        </w:rPr>
        <w:t xml:space="preserve">, kas ir nodrošināts ar augstas kvalitātes darbiniekiem un atbilstošu tehnisko nodrošinājumu. </w:t>
      </w:r>
      <w:r w:rsidR="00AD744C">
        <w:rPr>
          <w:rFonts w:asciiTheme="majorHAnsi" w:hAnsiTheme="majorHAnsi"/>
          <w:lang w:val="lv-LV"/>
        </w:rPr>
        <w:t xml:space="preserve"> </w:t>
      </w:r>
      <w:r w:rsidR="00C058B6">
        <w:rPr>
          <w:rFonts w:asciiTheme="majorHAnsi" w:hAnsiTheme="majorHAnsi"/>
          <w:lang w:val="lv-LV"/>
        </w:rPr>
        <w:t xml:space="preserve">Savukārt medija nespēja nodrošināt augstam ētikas standartam atbilstošu saturu noved pie demokrātijas novājināšanas, kas kopā ar citiem faktoriem rada draudus valsts demokrātiskai iekārtai un </w:t>
      </w:r>
      <w:r w:rsidR="004F0C8C">
        <w:rPr>
          <w:rFonts w:asciiTheme="majorHAnsi" w:hAnsiTheme="majorHAnsi"/>
          <w:lang w:val="lv-LV"/>
        </w:rPr>
        <w:t>iezīmē ceļu anti-demokrātiskām pārvaldes sistēmām.</w:t>
      </w:r>
      <w:r w:rsidR="004F0C8C">
        <w:rPr>
          <w:rStyle w:val="FootnoteReference"/>
          <w:rFonts w:asciiTheme="majorHAnsi" w:hAnsiTheme="majorHAnsi"/>
          <w:lang w:val="lv-LV"/>
        </w:rPr>
        <w:footnoteReference w:id="14"/>
      </w:r>
      <w:r w:rsidR="00604962">
        <w:rPr>
          <w:rFonts w:asciiTheme="majorHAnsi" w:hAnsiTheme="majorHAnsi"/>
          <w:lang w:val="lv-LV"/>
        </w:rPr>
        <w:t xml:space="preserve"> Sabiedrisk</w:t>
      </w:r>
      <w:r w:rsidR="00DE09D4">
        <w:rPr>
          <w:rFonts w:asciiTheme="majorHAnsi" w:hAnsiTheme="majorHAnsi"/>
          <w:lang w:val="lv-LV"/>
        </w:rPr>
        <w:t>o mediju kvalitātes saturs ietekmē sabiedrības viedokli un tā kvalitāti.</w:t>
      </w:r>
      <w:r w:rsidR="00DE09D4">
        <w:rPr>
          <w:rStyle w:val="FootnoteReference"/>
          <w:rFonts w:asciiTheme="majorHAnsi" w:hAnsiTheme="majorHAnsi"/>
          <w:lang w:val="lv-LV"/>
        </w:rPr>
        <w:footnoteReference w:id="15"/>
      </w:r>
      <w:r w:rsidR="00FF0F8F">
        <w:rPr>
          <w:rFonts w:asciiTheme="majorHAnsi" w:hAnsiTheme="majorHAnsi"/>
          <w:lang w:val="lv-LV"/>
        </w:rPr>
        <w:t xml:space="preserve"> Vācijas Konstitucionālā tiesa 2018.gadā pieņēma spriedumu, kurā atzina, ka </w:t>
      </w:r>
      <w:r w:rsidR="00F052A3">
        <w:rPr>
          <w:rFonts w:asciiTheme="majorHAnsi" w:hAnsiTheme="majorHAnsi"/>
          <w:lang w:val="lv-LV"/>
        </w:rPr>
        <w:t>medija nodokļa ieviešana ir konstitucionāla un ir fundamentāls demokrātijas pamats.</w:t>
      </w:r>
      <w:r w:rsidR="00F052A3">
        <w:rPr>
          <w:rStyle w:val="FootnoteReference"/>
          <w:rFonts w:asciiTheme="majorHAnsi" w:hAnsiTheme="majorHAnsi"/>
          <w:lang w:val="lv-LV"/>
        </w:rPr>
        <w:footnoteReference w:id="16"/>
      </w:r>
      <w:r w:rsidR="00E34270">
        <w:rPr>
          <w:rFonts w:asciiTheme="majorHAnsi" w:hAnsiTheme="majorHAnsi"/>
          <w:lang w:val="lv-LV"/>
        </w:rPr>
        <w:t xml:space="preserve"> </w:t>
      </w:r>
    </w:p>
    <w:p w14:paraId="10BC9085" w14:textId="2721E440" w:rsidR="00690324" w:rsidRDefault="00A86121" w:rsidP="00131BB3">
      <w:pPr>
        <w:pStyle w:val="BodyText"/>
        <w:numPr>
          <w:ilvl w:val="1"/>
          <w:numId w:val="29"/>
        </w:numPr>
        <w:spacing w:after="120"/>
        <w:jc w:val="both"/>
        <w:rPr>
          <w:rFonts w:asciiTheme="majorHAnsi" w:hAnsiTheme="majorHAnsi"/>
          <w:lang w:val="lv-LV"/>
        </w:rPr>
      </w:pPr>
      <w:r>
        <w:rPr>
          <w:rFonts w:asciiTheme="majorHAnsi" w:hAnsiTheme="majorHAnsi"/>
          <w:lang w:val="lv-LV"/>
        </w:rPr>
        <w:t xml:space="preserve">Valsts prezidenta Konstitucionālās tiesību komisijas viedoklis par sabiedrisko plašsaziņas līdzekļu tiesisko regulējumu demokrātiskas valsts iekārtā 2010.gadā radīja stipru ietekmi </w:t>
      </w:r>
      <w:r w:rsidR="00B76B2B">
        <w:rPr>
          <w:rFonts w:asciiTheme="majorHAnsi" w:hAnsiTheme="majorHAnsi"/>
          <w:lang w:val="lv-LV"/>
        </w:rPr>
        <w:t xml:space="preserve">uz mediju </w:t>
      </w:r>
      <w:r w:rsidR="00B76B2B">
        <w:rPr>
          <w:rFonts w:asciiTheme="majorHAnsi" w:hAnsiTheme="majorHAnsi"/>
          <w:lang w:val="lv-LV"/>
        </w:rPr>
        <w:lastRenderedPageBreak/>
        <w:t>finansēšanas situāciju Latvijā.</w:t>
      </w:r>
      <w:r w:rsidR="00486930">
        <w:rPr>
          <w:rStyle w:val="FootnoteReference"/>
          <w:rFonts w:asciiTheme="majorHAnsi" w:hAnsiTheme="majorHAnsi"/>
          <w:lang w:val="lv-LV"/>
        </w:rPr>
        <w:footnoteReference w:id="17"/>
      </w:r>
      <w:r w:rsidR="00B76B2B">
        <w:rPr>
          <w:rFonts w:asciiTheme="majorHAnsi" w:hAnsiTheme="majorHAnsi"/>
          <w:lang w:val="lv-LV"/>
        </w:rPr>
        <w:t xml:space="preserve"> </w:t>
      </w:r>
      <w:r w:rsidR="000A1702">
        <w:rPr>
          <w:rFonts w:asciiTheme="majorHAnsi" w:hAnsiTheme="majorHAnsi"/>
          <w:lang w:val="lv-LV"/>
        </w:rPr>
        <w:t>Konstitucionālā komisija arī secināja Eiropas Padomes ietekmi uz preses (mediju) neatkarības izpratni Eiropas Savienībā. Eiropas Padome sniedz savas rekomendācijas attiecībā uz konkrētiem tiesību jautājumiem  un tieši savā Rekomendācijā Nr.R (96) 10</w:t>
      </w:r>
      <w:r w:rsidR="00D04BBE">
        <w:rPr>
          <w:rFonts w:asciiTheme="majorHAnsi" w:hAnsiTheme="majorHAnsi"/>
          <w:lang w:val="lv-LV"/>
        </w:rPr>
        <w:t xml:space="preserve"> </w:t>
      </w:r>
      <w:r w:rsidR="000A1702">
        <w:rPr>
          <w:rStyle w:val="FootnoteReference"/>
          <w:rFonts w:asciiTheme="majorHAnsi" w:hAnsiTheme="majorHAnsi"/>
          <w:lang w:val="lv-LV"/>
        </w:rPr>
        <w:footnoteReference w:id="18"/>
      </w:r>
      <w:r w:rsidR="000A1702">
        <w:rPr>
          <w:rFonts w:asciiTheme="majorHAnsi" w:hAnsiTheme="majorHAnsi"/>
          <w:lang w:val="lv-LV"/>
        </w:rPr>
        <w:t>, tā noteikusi mediju finansēšanas pamatprincipus. P</w:t>
      </w:r>
      <w:r w:rsidR="00D04BBE">
        <w:rPr>
          <w:rFonts w:asciiTheme="majorHAnsi" w:hAnsiTheme="majorHAnsi"/>
          <w:lang w:val="lv-LV"/>
        </w:rPr>
        <w:t xml:space="preserve">ar mediju finansēšanu Padome norādījusi turpmāko: </w:t>
      </w:r>
    </w:p>
    <w:p w14:paraId="5A3E2E9C" w14:textId="01B9B4A6" w:rsidR="00F158FF" w:rsidRDefault="00F158FF" w:rsidP="00F158FF">
      <w:pPr>
        <w:pStyle w:val="BodyText"/>
        <w:numPr>
          <w:ilvl w:val="0"/>
          <w:numId w:val="47"/>
        </w:numPr>
        <w:spacing w:after="120"/>
        <w:jc w:val="center"/>
        <w:rPr>
          <w:rFonts w:asciiTheme="majorHAnsi" w:hAnsiTheme="majorHAnsi"/>
          <w:lang w:val="lv-LV"/>
        </w:rPr>
      </w:pPr>
      <w:r>
        <w:rPr>
          <w:rFonts w:asciiTheme="majorHAnsi" w:hAnsiTheme="majorHAnsi"/>
          <w:lang w:val="lv-LV"/>
        </w:rPr>
        <w:t>Finansējumam jābūt pietiekamam, lai medijs varētu pilnībā izpildīt savas funkcijas un uzdevumus.</w:t>
      </w:r>
    </w:p>
    <w:p w14:paraId="4C53E965" w14:textId="65652335" w:rsidR="00F158FF" w:rsidRDefault="00840279" w:rsidP="00F158FF">
      <w:pPr>
        <w:pStyle w:val="BodyText"/>
        <w:numPr>
          <w:ilvl w:val="0"/>
          <w:numId w:val="47"/>
        </w:numPr>
        <w:spacing w:after="120"/>
        <w:jc w:val="center"/>
        <w:rPr>
          <w:rFonts w:asciiTheme="majorHAnsi" w:hAnsiTheme="majorHAnsi"/>
          <w:lang w:val="lv-LV"/>
        </w:rPr>
      </w:pPr>
      <w:r>
        <w:rPr>
          <w:rFonts w:asciiTheme="majorHAnsi" w:hAnsiTheme="majorHAnsi"/>
          <w:lang w:val="lv-LV"/>
        </w:rPr>
        <w:t>Finansējums nedrīkst kalpot par līdzekli medija tiešai vai netiešai ietekmēšanai, kā arī jebkādai ietekmei uz medija redakcionālo neatkarību un institucionālo autonomiju.</w:t>
      </w:r>
    </w:p>
    <w:p w14:paraId="6D3EFC59" w14:textId="3BACE800" w:rsidR="00840279" w:rsidRDefault="00400213" w:rsidP="00F158FF">
      <w:pPr>
        <w:pStyle w:val="BodyText"/>
        <w:numPr>
          <w:ilvl w:val="0"/>
          <w:numId w:val="47"/>
        </w:numPr>
        <w:spacing w:after="120"/>
        <w:jc w:val="center"/>
        <w:rPr>
          <w:rFonts w:asciiTheme="majorHAnsi" w:hAnsiTheme="majorHAnsi"/>
          <w:lang w:val="lv-LV"/>
        </w:rPr>
      </w:pPr>
      <w:r>
        <w:rPr>
          <w:rFonts w:asciiTheme="majorHAnsi" w:hAnsiTheme="majorHAnsi"/>
          <w:lang w:val="lv-LV"/>
        </w:rPr>
        <w:t>Medija finansējuma apmēram jābūt iepriekš apspriestam ar mediju, ņemot vērā aktualitātes un izdevumus tā darbībā. Finansējuma apjomam jānodrošina medijam un tā organizācijai visus nepieciešamos līdzekļus un jāsedz visi nepieciešamie izdevumi</w:t>
      </w:r>
      <w:r w:rsidR="000C3AA8">
        <w:rPr>
          <w:rFonts w:asciiTheme="majorHAnsi" w:hAnsiTheme="majorHAnsi"/>
          <w:lang w:val="lv-LV"/>
        </w:rPr>
        <w:t>, lai tas pilnībā varētu izpildīt savus uzdevumus</w:t>
      </w:r>
      <w:r>
        <w:rPr>
          <w:rFonts w:asciiTheme="majorHAnsi" w:hAnsiTheme="majorHAnsi"/>
          <w:lang w:val="lv-LV"/>
        </w:rPr>
        <w:t xml:space="preserve">. </w:t>
      </w:r>
    </w:p>
    <w:p w14:paraId="7841624B" w14:textId="333A32D8" w:rsidR="000C3AA8" w:rsidRDefault="00CC3462" w:rsidP="00F158FF">
      <w:pPr>
        <w:pStyle w:val="BodyText"/>
        <w:numPr>
          <w:ilvl w:val="0"/>
          <w:numId w:val="47"/>
        </w:numPr>
        <w:spacing w:after="120"/>
        <w:jc w:val="center"/>
        <w:rPr>
          <w:rFonts w:asciiTheme="majorHAnsi" w:hAnsiTheme="majorHAnsi"/>
          <w:lang w:val="lv-LV"/>
        </w:rPr>
      </w:pPr>
      <w:r>
        <w:rPr>
          <w:rFonts w:asciiTheme="majorHAnsi" w:hAnsiTheme="majorHAnsi"/>
          <w:lang w:val="lv-LV"/>
        </w:rPr>
        <w:t xml:space="preserve">Nodoklim (licencēšanas maksai) jābūt tādai, lai tā nodrošinātu medija darbības kontinuitāti un garantētu medija iespēju plānot savu darbību ilgtermiņā. </w:t>
      </w:r>
    </w:p>
    <w:p w14:paraId="5ABD5E69" w14:textId="2E1EBEAF" w:rsidR="00492A73" w:rsidRDefault="00E83EBC" w:rsidP="00F158FF">
      <w:pPr>
        <w:pStyle w:val="BodyText"/>
        <w:numPr>
          <w:ilvl w:val="0"/>
          <w:numId w:val="47"/>
        </w:numPr>
        <w:spacing w:after="120"/>
        <w:jc w:val="center"/>
        <w:rPr>
          <w:rFonts w:asciiTheme="majorHAnsi" w:hAnsiTheme="majorHAnsi"/>
          <w:lang w:val="lv-LV"/>
        </w:rPr>
      </w:pPr>
      <w:r>
        <w:rPr>
          <w:rFonts w:asciiTheme="majorHAnsi" w:hAnsiTheme="majorHAnsi"/>
          <w:lang w:val="lv-LV"/>
        </w:rPr>
        <w:t>Budžeta izlietojums jāveic tādā veidā, ka tiek ievērots medija neatkarības un autonomijas principi.</w:t>
      </w:r>
    </w:p>
    <w:p w14:paraId="6C8605A1" w14:textId="1E7E65AA" w:rsidR="00E83EBC" w:rsidRDefault="00646EEB" w:rsidP="00F158FF">
      <w:pPr>
        <w:pStyle w:val="BodyText"/>
        <w:numPr>
          <w:ilvl w:val="0"/>
          <w:numId w:val="47"/>
        </w:numPr>
        <w:spacing w:after="120"/>
        <w:jc w:val="center"/>
        <w:rPr>
          <w:rFonts w:asciiTheme="majorHAnsi" w:hAnsiTheme="majorHAnsi"/>
          <w:lang w:val="lv-LV"/>
        </w:rPr>
      </w:pPr>
      <w:r>
        <w:rPr>
          <w:rFonts w:asciiTheme="majorHAnsi" w:hAnsiTheme="majorHAnsi"/>
          <w:lang w:val="lv-LV"/>
        </w:rPr>
        <w:t xml:space="preserve">Ja finansējumu jādala vairāku mediju starpā, finansējumu apjomam </w:t>
      </w:r>
      <w:r w:rsidR="001F3718">
        <w:rPr>
          <w:rFonts w:asciiTheme="majorHAnsi" w:hAnsiTheme="majorHAnsi"/>
          <w:lang w:val="lv-LV"/>
        </w:rPr>
        <w:t>katram no tiem jānosedz visas to vajadzības.</w:t>
      </w:r>
    </w:p>
    <w:p w14:paraId="720EF861" w14:textId="77777777" w:rsidR="001F3718" w:rsidRPr="00FC467C" w:rsidRDefault="001F3718" w:rsidP="001F3718">
      <w:pPr>
        <w:pStyle w:val="BodyText"/>
        <w:spacing w:after="120"/>
        <w:rPr>
          <w:rFonts w:asciiTheme="majorHAnsi" w:hAnsiTheme="majorHAnsi"/>
          <w:lang w:val="lv-LV"/>
        </w:rPr>
      </w:pPr>
    </w:p>
    <w:p w14:paraId="74820120" w14:textId="54DE7235" w:rsidR="00FC467C" w:rsidRPr="00A173AB" w:rsidRDefault="00167D5F" w:rsidP="00A815C8">
      <w:pPr>
        <w:pStyle w:val="BodyText"/>
        <w:numPr>
          <w:ilvl w:val="1"/>
          <w:numId w:val="29"/>
        </w:numPr>
        <w:spacing w:after="120"/>
        <w:ind w:left="788" w:hanging="431"/>
        <w:jc w:val="both"/>
        <w:rPr>
          <w:rFonts w:asciiTheme="majorHAnsi" w:hAnsiTheme="majorHAnsi"/>
          <w:lang w:val="lv-LV"/>
        </w:rPr>
      </w:pPr>
      <w:r>
        <w:rPr>
          <w:rFonts w:asciiTheme="majorHAnsi" w:hAnsiTheme="majorHAnsi"/>
          <w:lang w:val="lv-LV"/>
        </w:rPr>
        <w:t xml:space="preserve">Medijam ir tieša ietekme uz sabiedrības viedokli, </w:t>
      </w:r>
      <w:r w:rsidR="00695E94">
        <w:rPr>
          <w:rFonts w:asciiTheme="majorHAnsi" w:hAnsiTheme="majorHAnsi"/>
          <w:lang w:val="lv-LV"/>
        </w:rPr>
        <w:t xml:space="preserve">tam objektīvi jāatspoguļo aktuālie jautājumi sabiedrībā un </w:t>
      </w:r>
      <w:r w:rsidR="00DF525F">
        <w:rPr>
          <w:rFonts w:asciiTheme="majorHAnsi" w:hAnsiTheme="majorHAnsi"/>
          <w:lang w:val="lv-LV"/>
        </w:rPr>
        <w:t>jānodrošina sabiedrības informētība par aktuālām ziņām, saskaņā ar Ētikas kodeksu.</w:t>
      </w:r>
      <w:r w:rsidR="000D38E4">
        <w:rPr>
          <w:rFonts w:asciiTheme="majorHAnsi" w:hAnsiTheme="majorHAnsi"/>
          <w:lang w:val="lv-LV"/>
        </w:rPr>
        <w:t xml:space="preserve"> </w:t>
      </w:r>
      <w:r w:rsidR="009975C1">
        <w:rPr>
          <w:rFonts w:asciiTheme="majorHAnsi" w:hAnsiTheme="majorHAnsi"/>
          <w:lang w:val="lv-LV"/>
        </w:rPr>
        <w:t xml:space="preserve">Medijs var gan popularizēt, gan ‘’nogremdēt’’ dažādas personas, idejas, notikumus un situācijas. </w:t>
      </w:r>
      <w:r w:rsidR="00D1097E">
        <w:rPr>
          <w:rFonts w:asciiTheme="majorHAnsi" w:hAnsiTheme="majorHAnsi"/>
          <w:lang w:val="lv-LV"/>
        </w:rPr>
        <w:t xml:space="preserve">Sabiedrība uzticas medijam un tā norādītajām ziņām. </w:t>
      </w:r>
      <w:r w:rsidR="00990C77">
        <w:rPr>
          <w:rFonts w:asciiTheme="majorHAnsi" w:hAnsiTheme="majorHAnsi"/>
          <w:lang w:val="lv-LV"/>
        </w:rPr>
        <w:t xml:space="preserve">Medijā norādītais viedoklis ietekmē visas sfēras un </w:t>
      </w:r>
      <w:r w:rsidR="00E1096B">
        <w:rPr>
          <w:rFonts w:asciiTheme="majorHAnsi" w:hAnsiTheme="majorHAnsi"/>
          <w:lang w:val="lv-LV"/>
        </w:rPr>
        <w:t xml:space="preserve">praktiski </w:t>
      </w:r>
      <w:r w:rsidR="00C26B24">
        <w:rPr>
          <w:rFonts w:asciiTheme="majorHAnsi" w:hAnsiTheme="majorHAnsi"/>
          <w:lang w:val="lv-LV"/>
        </w:rPr>
        <w:t xml:space="preserve">visus </w:t>
      </w:r>
      <w:r w:rsidR="00990C77">
        <w:rPr>
          <w:rFonts w:asciiTheme="majorHAnsi" w:hAnsiTheme="majorHAnsi"/>
          <w:lang w:val="lv-LV"/>
        </w:rPr>
        <w:t>cilvēkus.</w:t>
      </w:r>
      <w:r w:rsidR="00990C77">
        <w:rPr>
          <w:rStyle w:val="FootnoteReference"/>
          <w:rFonts w:asciiTheme="majorHAnsi" w:hAnsiTheme="majorHAnsi"/>
          <w:lang w:val="lv-LV"/>
        </w:rPr>
        <w:footnoteReference w:id="19"/>
      </w:r>
      <w:r w:rsidR="00C26B24">
        <w:rPr>
          <w:rFonts w:asciiTheme="majorHAnsi" w:hAnsiTheme="majorHAnsi"/>
          <w:lang w:val="lv-LV"/>
        </w:rPr>
        <w:t xml:space="preserve"> </w:t>
      </w:r>
      <w:r w:rsidR="009F53BC">
        <w:rPr>
          <w:rFonts w:asciiTheme="majorHAnsi" w:hAnsiTheme="majorHAnsi"/>
          <w:lang w:val="lv-LV"/>
        </w:rPr>
        <w:t xml:space="preserve">Tieši tādēļ, medija ētikas </w:t>
      </w:r>
      <w:r w:rsidR="00390C73">
        <w:rPr>
          <w:rFonts w:asciiTheme="majorHAnsi" w:hAnsiTheme="majorHAnsi"/>
          <w:lang w:val="lv-LV"/>
        </w:rPr>
        <w:t xml:space="preserve">standarti ir tik populāri un starptautiski noteikti </w:t>
      </w:r>
      <w:r w:rsidR="002279BF">
        <w:rPr>
          <w:rFonts w:asciiTheme="majorHAnsi" w:hAnsiTheme="majorHAnsi"/>
          <w:lang w:val="lv-LV"/>
        </w:rPr>
        <w:t xml:space="preserve">praktiski jebkurā attīstītajā pasaules valstī. Mediju ētikas </w:t>
      </w:r>
      <w:r w:rsidR="00271132">
        <w:rPr>
          <w:rFonts w:asciiTheme="majorHAnsi" w:hAnsiTheme="majorHAnsi"/>
          <w:lang w:val="lv-LV"/>
        </w:rPr>
        <w:t xml:space="preserve">principu </w:t>
      </w:r>
      <w:r w:rsidR="002279BF">
        <w:rPr>
          <w:rFonts w:asciiTheme="majorHAnsi" w:hAnsiTheme="majorHAnsi"/>
          <w:lang w:val="lv-LV"/>
        </w:rPr>
        <w:t xml:space="preserve">neievērošana </w:t>
      </w:r>
      <w:r w:rsidR="00BF72BE">
        <w:rPr>
          <w:rFonts w:asciiTheme="majorHAnsi" w:hAnsiTheme="majorHAnsi"/>
          <w:lang w:val="lv-LV"/>
        </w:rPr>
        <w:t xml:space="preserve">būtiski ietekmē </w:t>
      </w:r>
      <w:r w:rsidR="00D61AB2">
        <w:rPr>
          <w:rFonts w:asciiTheme="majorHAnsi" w:hAnsiTheme="majorHAnsi"/>
          <w:lang w:val="lv-LV"/>
        </w:rPr>
        <w:t xml:space="preserve">šī atspoguļojuma patiesumu un objektivitāti, kas noved pie maldīgu vai pat uzskatāmi nepareizu uzskatu un viedokļu izveidošanos sabiedrībā. </w:t>
      </w:r>
    </w:p>
    <w:p w14:paraId="6922FD3E" w14:textId="77777777" w:rsidR="00F05B55" w:rsidRPr="002279BF" w:rsidRDefault="00F05B55" w:rsidP="002279BF">
      <w:pPr>
        <w:pStyle w:val="BodyText"/>
        <w:spacing w:after="120"/>
        <w:ind w:left="788"/>
        <w:jc w:val="both"/>
        <w:rPr>
          <w:rFonts w:asciiTheme="majorHAnsi" w:hAnsiTheme="majorHAnsi"/>
          <w:lang w:val="lv-LV"/>
        </w:rPr>
      </w:pPr>
    </w:p>
    <w:p w14:paraId="519A219D" w14:textId="07706754" w:rsidR="000B7335" w:rsidRPr="006E5DD6" w:rsidRDefault="00F05B55" w:rsidP="000B7335">
      <w:pPr>
        <w:pStyle w:val="BodyText"/>
        <w:numPr>
          <w:ilvl w:val="0"/>
          <w:numId w:val="29"/>
        </w:numPr>
        <w:spacing w:before="240"/>
        <w:ind w:left="357" w:hanging="357"/>
        <w:jc w:val="both"/>
        <w:rPr>
          <w:rFonts w:asciiTheme="majorHAnsi" w:hAnsiTheme="majorHAnsi"/>
          <w:i/>
          <w:color w:val="E0301E" w:themeColor="accent4"/>
          <w:sz w:val="32"/>
          <w:szCs w:val="32"/>
          <w:lang w:val="lv-LV"/>
        </w:rPr>
      </w:pPr>
      <w:r>
        <w:rPr>
          <w:rFonts w:asciiTheme="majorHAnsi" w:hAnsiTheme="majorHAnsi"/>
          <w:i/>
          <w:color w:val="E0301E" w:themeColor="accent4"/>
          <w:sz w:val="32"/>
          <w:szCs w:val="32"/>
          <w:lang w:val="lv-LV"/>
        </w:rPr>
        <w:t xml:space="preserve">Mediju finansēšanas modeļi, to plusi un mīnusi. </w:t>
      </w:r>
      <w:r w:rsidR="00D40EE5">
        <w:rPr>
          <w:rFonts w:asciiTheme="majorHAnsi" w:hAnsiTheme="majorHAnsi"/>
          <w:i/>
          <w:color w:val="E0301E" w:themeColor="accent4"/>
          <w:sz w:val="32"/>
          <w:szCs w:val="32"/>
          <w:lang w:val="lv-LV"/>
        </w:rPr>
        <w:t>Latvijas mediju finansēšanas modelis, iespējamie uzlabojumi. Ārvalstu p</w:t>
      </w:r>
      <w:r w:rsidR="00D740BC">
        <w:rPr>
          <w:rFonts w:asciiTheme="majorHAnsi" w:hAnsiTheme="majorHAnsi"/>
          <w:i/>
          <w:color w:val="E0301E" w:themeColor="accent4"/>
          <w:sz w:val="32"/>
          <w:szCs w:val="32"/>
          <w:lang w:val="lv-LV"/>
        </w:rPr>
        <w:t>ieredze</w:t>
      </w:r>
      <w:r w:rsidR="00D40EE5">
        <w:rPr>
          <w:rFonts w:asciiTheme="majorHAnsi" w:hAnsiTheme="majorHAnsi"/>
          <w:i/>
          <w:color w:val="E0301E" w:themeColor="accent4"/>
          <w:sz w:val="32"/>
          <w:szCs w:val="32"/>
          <w:lang w:val="lv-LV"/>
        </w:rPr>
        <w:t>.</w:t>
      </w:r>
    </w:p>
    <w:p w14:paraId="20B95F92" w14:textId="1DB76CFF" w:rsidR="005B1F33" w:rsidRPr="00801661" w:rsidRDefault="00E56B8B" w:rsidP="005B1F33">
      <w:pPr>
        <w:pStyle w:val="BodyText"/>
        <w:numPr>
          <w:ilvl w:val="1"/>
          <w:numId w:val="29"/>
        </w:numPr>
        <w:spacing w:after="120"/>
        <w:ind w:left="788" w:hanging="431"/>
        <w:jc w:val="both"/>
        <w:rPr>
          <w:rFonts w:asciiTheme="majorHAnsi" w:hAnsiTheme="majorHAnsi"/>
          <w:lang w:val="lv-LV"/>
        </w:rPr>
      </w:pPr>
      <w:r>
        <w:rPr>
          <w:rFonts w:asciiTheme="majorHAnsi" w:hAnsiTheme="majorHAnsi"/>
          <w:lang w:val="lv-LV"/>
        </w:rPr>
        <w:t>Mediju finansēšanas iespējas</w:t>
      </w:r>
      <w:r w:rsidR="00FD5874">
        <w:rPr>
          <w:rFonts w:asciiTheme="majorHAnsi" w:hAnsiTheme="majorHAnsi"/>
          <w:lang w:val="lv-LV"/>
        </w:rPr>
        <w:t xml:space="preserve"> ir ļoti daudz un dažādas. Starptautiski populāri sastopami tādi finansēšanas modeļi kā </w:t>
      </w:r>
      <w:r w:rsidR="00F35FCD">
        <w:rPr>
          <w:rFonts w:asciiTheme="majorHAnsi" w:hAnsiTheme="majorHAnsi"/>
          <w:lang w:val="lv-LV"/>
        </w:rPr>
        <w:t xml:space="preserve">valsts budžeta piešķīrums, licencēšanas maksa, nodokļa iekasēšana no sabiedrības, </w:t>
      </w:r>
      <w:r w:rsidR="009354F1">
        <w:rPr>
          <w:rFonts w:asciiTheme="majorHAnsi" w:hAnsiTheme="majorHAnsi"/>
          <w:lang w:val="lv-LV"/>
        </w:rPr>
        <w:t xml:space="preserve">maksas piesaiste elektrības rēķinam, </w:t>
      </w:r>
      <w:r w:rsidR="00021B0A">
        <w:rPr>
          <w:rFonts w:asciiTheme="majorHAnsi" w:hAnsiTheme="majorHAnsi"/>
          <w:lang w:val="lv-LV"/>
        </w:rPr>
        <w:t xml:space="preserve">ziedojumi, </w:t>
      </w:r>
      <w:r w:rsidR="004323C8">
        <w:rPr>
          <w:rFonts w:asciiTheme="majorHAnsi" w:hAnsiTheme="majorHAnsi"/>
          <w:lang w:val="lv-LV"/>
        </w:rPr>
        <w:t xml:space="preserve">ienākumi no reklāmas biznesa, abonentmaksu iekasēšana, kā arī citi </w:t>
      </w:r>
      <w:r w:rsidR="004323C8" w:rsidRPr="008E64DE">
        <w:rPr>
          <w:rFonts w:asciiTheme="majorHAnsi" w:hAnsiTheme="majorHAnsi"/>
          <w:lang w:val="lv-LV"/>
        </w:rPr>
        <w:t>veidi.</w:t>
      </w:r>
      <w:r w:rsidR="00386882" w:rsidRPr="008E64DE">
        <w:rPr>
          <w:rStyle w:val="FootnoteReference"/>
          <w:rFonts w:asciiTheme="majorHAnsi" w:hAnsiTheme="majorHAnsi"/>
          <w:lang w:val="lv-LV"/>
        </w:rPr>
        <w:footnoteReference w:id="20"/>
      </w:r>
      <w:r w:rsidR="004323C8">
        <w:rPr>
          <w:rFonts w:asciiTheme="majorHAnsi" w:hAnsiTheme="majorHAnsi"/>
          <w:lang w:val="lv-LV"/>
        </w:rPr>
        <w:t xml:space="preserve"> </w:t>
      </w:r>
      <w:r w:rsidR="00582D91">
        <w:rPr>
          <w:rFonts w:asciiTheme="majorHAnsi" w:hAnsiTheme="majorHAnsi"/>
          <w:lang w:val="lv-LV"/>
        </w:rPr>
        <w:t xml:space="preserve">Par mediju finansēšanas vajadzību, apjomu un veidu vienmēr izcēlušās diskusijas, šķiet, katrā valstī šie jautājumi ir apskatīti un ne reti, starp mediju nozari un likumdevēju izveidojas pretējas intereses. </w:t>
      </w:r>
    </w:p>
    <w:p w14:paraId="477F2119" w14:textId="4FB5B219" w:rsidR="00F132C3" w:rsidRPr="00401557" w:rsidRDefault="00386882" w:rsidP="00401557">
      <w:pPr>
        <w:pStyle w:val="BodyText"/>
        <w:numPr>
          <w:ilvl w:val="1"/>
          <w:numId w:val="29"/>
        </w:numPr>
        <w:spacing w:after="120"/>
        <w:ind w:left="788" w:hanging="431"/>
        <w:jc w:val="both"/>
        <w:rPr>
          <w:rFonts w:asciiTheme="majorHAnsi" w:hAnsiTheme="majorHAnsi"/>
          <w:lang w:val="lv-LV"/>
        </w:rPr>
      </w:pPr>
      <w:r>
        <w:rPr>
          <w:rFonts w:asciiTheme="majorHAnsi" w:hAnsiTheme="majorHAnsi"/>
          <w:lang w:val="lv-LV"/>
        </w:rPr>
        <w:t>Līdz šim</w:t>
      </w:r>
      <w:r w:rsidR="005B721A">
        <w:rPr>
          <w:rFonts w:asciiTheme="majorHAnsi" w:hAnsiTheme="majorHAnsi"/>
          <w:lang w:val="lv-LV"/>
        </w:rPr>
        <w:t>,</w:t>
      </w:r>
      <w:r>
        <w:rPr>
          <w:rFonts w:asciiTheme="majorHAnsi" w:hAnsiTheme="majorHAnsi"/>
          <w:lang w:val="lv-LV"/>
        </w:rPr>
        <w:t xml:space="preserve"> Latvijas sabiedrisko mediju finansēšana notika ar valsts finansējuma piešķīrumu, kas jau vairākus gadus nav bijis pietiekams pilnīgai mediju neatkarī</w:t>
      </w:r>
      <w:r w:rsidR="00F22A98">
        <w:rPr>
          <w:rFonts w:asciiTheme="majorHAnsi" w:hAnsiTheme="majorHAnsi"/>
          <w:lang w:val="lv-LV"/>
        </w:rPr>
        <w:t>g</w:t>
      </w:r>
      <w:r>
        <w:rPr>
          <w:rFonts w:asciiTheme="majorHAnsi" w:hAnsiTheme="majorHAnsi"/>
          <w:lang w:val="lv-LV"/>
        </w:rPr>
        <w:t xml:space="preserve">as </w:t>
      </w:r>
      <w:r w:rsidR="00F22A98">
        <w:rPr>
          <w:rFonts w:asciiTheme="majorHAnsi" w:hAnsiTheme="majorHAnsi"/>
          <w:lang w:val="lv-LV"/>
        </w:rPr>
        <w:t xml:space="preserve">darbības </w:t>
      </w:r>
      <w:r>
        <w:rPr>
          <w:rFonts w:asciiTheme="majorHAnsi" w:hAnsiTheme="majorHAnsi"/>
          <w:lang w:val="lv-LV"/>
        </w:rPr>
        <w:t>nodrošināšanai.</w:t>
      </w:r>
      <w:r w:rsidR="00D83FE0">
        <w:rPr>
          <w:rFonts w:asciiTheme="majorHAnsi" w:hAnsiTheme="majorHAnsi"/>
          <w:lang w:val="lv-LV"/>
        </w:rPr>
        <w:t xml:space="preserve"> Latvijas sabiedrisko mediju budžets ir aptuveni 28 milj. euro gadā, bet, piemēram kaimiņos Lietuvā – 46 milj.euro.</w:t>
      </w:r>
      <w:r w:rsidR="00D83FE0">
        <w:rPr>
          <w:rStyle w:val="FootnoteReference"/>
          <w:rFonts w:asciiTheme="majorHAnsi" w:hAnsiTheme="majorHAnsi"/>
          <w:lang w:val="lv-LV"/>
        </w:rPr>
        <w:footnoteReference w:id="21"/>
      </w:r>
      <w:r>
        <w:rPr>
          <w:rFonts w:asciiTheme="majorHAnsi" w:hAnsiTheme="majorHAnsi"/>
          <w:lang w:val="lv-LV"/>
        </w:rPr>
        <w:t xml:space="preserve"> Situācija, kad medija pārstāvim </w:t>
      </w:r>
      <w:r w:rsidR="005B721A">
        <w:rPr>
          <w:rFonts w:asciiTheme="majorHAnsi" w:hAnsiTheme="majorHAnsi"/>
          <w:lang w:val="lv-LV"/>
        </w:rPr>
        <w:t>nācies</w:t>
      </w:r>
      <w:r>
        <w:rPr>
          <w:rFonts w:asciiTheme="majorHAnsi" w:hAnsiTheme="majorHAnsi"/>
          <w:lang w:val="lv-LV"/>
        </w:rPr>
        <w:t xml:space="preserve"> </w:t>
      </w:r>
      <w:r w:rsidR="005B721A">
        <w:rPr>
          <w:rFonts w:asciiTheme="majorHAnsi" w:hAnsiTheme="majorHAnsi"/>
          <w:lang w:val="lv-LV"/>
        </w:rPr>
        <w:t>doties</w:t>
      </w:r>
      <w:r>
        <w:rPr>
          <w:rFonts w:asciiTheme="majorHAnsi" w:hAnsiTheme="majorHAnsi"/>
          <w:lang w:val="lv-LV"/>
        </w:rPr>
        <w:t xml:space="preserve"> pie valdības</w:t>
      </w:r>
      <w:r w:rsidR="00506E71">
        <w:rPr>
          <w:rFonts w:asciiTheme="majorHAnsi" w:hAnsiTheme="majorHAnsi"/>
          <w:lang w:val="lv-LV"/>
        </w:rPr>
        <w:t xml:space="preserve"> pārstāvjiem</w:t>
      </w:r>
      <w:r>
        <w:rPr>
          <w:rFonts w:asciiTheme="majorHAnsi" w:hAnsiTheme="majorHAnsi"/>
          <w:lang w:val="lv-LV"/>
        </w:rPr>
        <w:t xml:space="preserve"> </w:t>
      </w:r>
      <w:r w:rsidR="005B721A">
        <w:rPr>
          <w:rFonts w:asciiTheme="majorHAnsi" w:hAnsiTheme="majorHAnsi"/>
          <w:lang w:val="lv-LV"/>
        </w:rPr>
        <w:t xml:space="preserve">personiski </w:t>
      </w:r>
      <w:r>
        <w:rPr>
          <w:rFonts w:asciiTheme="majorHAnsi" w:hAnsiTheme="majorHAnsi"/>
          <w:lang w:val="lv-LV"/>
        </w:rPr>
        <w:t xml:space="preserve">un </w:t>
      </w:r>
      <w:r w:rsidR="005B721A">
        <w:rPr>
          <w:rFonts w:asciiTheme="majorHAnsi" w:hAnsiTheme="majorHAnsi"/>
          <w:lang w:val="lv-LV"/>
        </w:rPr>
        <w:t xml:space="preserve">lūgt </w:t>
      </w:r>
      <w:r>
        <w:rPr>
          <w:rFonts w:asciiTheme="majorHAnsi" w:hAnsiTheme="majorHAnsi"/>
          <w:lang w:val="lv-LV"/>
        </w:rPr>
        <w:lastRenderedPageBreak/>
        <w:t>papildus finansējum</w:t>
      </w:r>
      <w:r w:rsidR="005B721A">
        <w:rPr>
          <w:rFonts w:asciiTheme="majorHAnsi" w:hAnsiTheme="majorHAnsi"/>
          <w:lang w:val="lv-LV"/>
        </w:rPr>
        <w:t>u</w:t>
      </w:r>
      <w:r>
        <w:rPr>
          <w:rFonts w:asciiTheme="majorHAnsi" w:hAnsiTheme="majorHAnsi"/>
          <w:lang w:val="lv-LV"/>
        </w:rPr>
        <w:t xml:space="preserve"> pamata medija vajadzību segšanai, nav bijis rets </w:t>
      </w:r>
      <w:r w:rsidRPr="005B721A">
        <w:rPr>
          <w:rFonts w:asciiTheme="majorHAnsi" w:hAnsiTheme="majorHAnsi"/>
          <w:lang w:val="lv-LV"/>
        </w:rPr>
        <w:t>gadījums.</w:t>
      </w:r>
      <w:r>
        <w:rPr>
          <w:rStyle w:val="FootnoteReference"/>
          <w:rFonts w:asciiTheme="majorHAnsi" w:hAnsiTheme="majorHAnsi"/>
          <w:lang w:val="lv-LV"/>
        </w:rPr>
        <w:footnoteReference w:id="22"/>
      </w:r>
      <w:r w:rsidR="00AC7CC3">
        <w:rPr>
          <w:rFonts w:asciiTheme="majorHAnsi" w:hAnsiTheme="majorHAnsi"/>
          <w:lang w:val="lv-LV"/>
        </w:rPr>
        <w:t xml:space="preserve"> </w:t>
      </w:r>
      <w:r w:rsidR="00897DAF">
        <w:rPr>
          <w:rFonts w:asciiTheme="majorHAnsi" w:hAnsiTheme="majorHAnsi"/>
          <w:lang w:val="lv-LV"/>
        </w:rPr>
        <w:t xml:space="preserve">Tādējādi, pamatā Latvijas sabiedriskais medijs </w:t>
      </w:r>
      <w:r w:rsidR="00D30938">
        <w:rPr>
          <w:rFonts w:asciiTheme="majorHAnsi" w:hAnsiTheme="majorHAnsi"/>
          <w:lang w:val="lv-LV"/>
        </w:rPr>
        <w:t xml:space="preserve">līdzšinēji </w:t>
      </w:r>
      <w:r w:rsidR="00897DAF">
        <w:rPr>
          <w:rFonts w:asciiTheme="majorHAnsi" w:hAnsiTheme="majorHAnsi"/>
          <w:lang w:val="lv-LV"/>
        </w:rPr>
        <w:t xml:space="preserve">ticis finansēts no valsts finanšu piešķīruma un dalības reklāmas tirgū. </w:t>
      </w:r>
      <w:r w:rsidR="00AE60D6">
        <w:rPr>
          <w:rFonts w:asciiTheme="majorHAnsi" w:hAnsiTheme="majorHAnsi"/>
          <w:lang w:val="lv-LV"/>
        </w:rPr>
        <w:t xml:space="preserve">2018.gada </w:t>
      </w:r>
      <w:r w:rsidR="007D0A6E">
        <w:rPr>
          <w:rFonts w:asciiTheme="majorHAnsi" w:hAnsiTheme="majorHAnsi"/>
          <w:lang w:val="lv-LV"/>
        </w:rPr>
        <w:t>Grozījumi Elektronisko plašsaziņas līdzekļu likumā paredz, ka 2021.gadā sabiedriskajiem medijiem jāiziet no reklāmas tirgus 2021.gadā, ko nodrošin</w:t>
      </w:r>
      <w:r w:rsidR="00AE60D6">
        <w:rPr>
          <w:rFonts w:asciiTheme="majorHAnsi" w:hAnsiTheme="majorHAnsi"/>
          <w:lang w:val="lv-LV"/>
        </w:rPr>
        <w:t>a</w:t>
      </w:r>
      <w:r w:rsidR="007D0A6E">
        <w:rPr>
          <w:rFonts w:asciiTheme="majorHAnsi" w:hAnsiTheme="majorHAnsi"/>
          <w:lang w:val="lv-LV"/>
        </w:rPr>
        <w:t xml:space="preserve"> valsts finansējum</w:t>
      </w:r>
      <w:r w:rsidR="00AE60D6">
        <w:rPr>
          <w:rFonts w:asciiTheme="majorHAnsi" w:hAnsiTheme="majorHAnsi"/>
          <w:lang w:val="lv-LV"/>
        </w:rPr>
        <w:t>s</w:t>
      </w:r>
      <w:r w:rsidR="007D0A6E">
        <w:rPr>
          <w:rFonts w:asciiTheme="majorHAnsi" w:hAnsiTheme="majorHAnsi"/>
          <w:lang w:val="lv-LV"/>
        </w:rPr>
        <w:t xml:space="preserve">. </w:t>
      </w:r>
      <w:r w:rsidR="007D0A6E">
        <w:rPr>
          <w:rStyle w:val="FootnoteReference"/>
          <w:rFonts w:asciiTheme="majorHAnsi" w:hAnsiTheme="majorHAnsi"/>
          <w:lang w:val="lv-LV"/>
        </w:rPr>
        <w:footnoteReference w:id="23"/>
      </w:r>
      <w:r w:rsidR="007D0A6E">
        <w:rPr>
          <w:rFonts w:asciiTheme="majorHAnsi" w:hAnsiTheme="majorHAnsi"/>
          <w:lang w:val="lv-LV"/>
        </w:rPr>
        <w:t xml:space="preserve"> </w:t>
      </w:r>
      <w:r w:rsidR="00506E71">
        <w:rPr>
          <w:rFonts w:asciiTheme="majorHAnsi" w:hAnsiTheme="majorHAnsi"/>
          <w:lang w:val="lv-LV"/>
        </w:rPr>
        <w:t xml:space="preserve">Šādā situācijā skaidrs, ka sabiedriskajiem medijiem pilnībā atstājot reklāmas tirgu, tie vairs nespēs </w:t>
      </w:r>
      <w:r w:rsidR="004A21E7">
        <w:rPr>
          <w:rFonts w:asciiTheme="majorHAnsi" w:hAnsiTheme="majorHAnsi"/>
          <w:lang w:val="lv-LV"/>
        </w:rPr>
        <w:t xml:space="preserve">no tā </w:t>
      </w:r>
      <w:r w:rsidR="00506E71">
        <w:rPr>
          <w:rFonts w:asciiTheme="majorHAnsi" w:hAnsiTheme="majorHAnsi"/>
          <w:lang w:val="lv-LV"/>
        </w:rPr>
        <w:t xml:space="preserve">gūt </w:t>
      </w:r>
      <w:r w:rsidR="004A21E7">
        <w:rPr>
          <w:rFonts w:asciiTheme="majorHAnsi" w:hAnsiTheme="majorHAnsi"/>
          <w:lang w:val="lv-LV"/>
        </w:rPr>
        <w:t xml:space="preserve">peļņu, kas norāda uz to, ka medija budžeta piešķīrums paliek absolūtā atkarībā no politiskā lēmuma. Šādā situācijā, tādējādi, svarīgi iegūt finansējumu reklāmas vietā, kas būtu pamatots nevis ar tiešu politiskā lēmuma piešķīrumu, bet ar fiksētu ienākumu, piemēram, nodokļa vai IKP piesaistes veidā. Tomēr, turpmāk norādīts kādēļ mediju finansēšanas piesaiste IKP nav pareizs variants pašreizējā politiski ekonomiskajā situācijā Latvijā. </w:t>
      </w:r>
      <w:r w:rsidR="00401557" w:rsidRPr="00401557">
        <w:rPr>
          <w:rFonts w:asciiTheme="majorHAnsi" w:hAnsiTheme="majorHAnsi"/>
          <w:lang w:val="lv-LV"/>
        </w:rPr>
        <w:t xml:space="preserve">Tādējādi Latvijas sabiedriskā medija iziešana no reklāmas tirgus, pirms noteikts labāks budžeta saņemšanas veids, ir riskants. </w:t>
      </w:r>
    </w:p>
    <w:p w14:paraId="48114F0F" w14:textId="6E0BEF80" w:rsidR="005B1F33" w:rsidRPr="00801661" w:rsidRDefault="003D12B8" w:rsidP="005B1F33">
      <w:pPr>
        <w:pStyle w:val="BodyText"/>
        <w:numPr>
          <w:ilvl w:val="1"/>
          <w:numId w:val="29"/>
        </w:numPr>
        <w:spacing w:after="120"/>
        <w:ind w:left="788" w:hanging="431"/>
        <w:jc w:val="both"/>
        <w:rPr>
          <w:rFonts w:asciiTheme="majorHAnsi" w:hAnsiTheme="majorHAnsi"/>
          <w:lang w:val="lv-LV"/>
        </w:rPr>
      </w:pPr>
      <w:r>
        <w:rPr>
          <w:rFonts w:asciiTheme="majorHAnsi" w:hAnsiTheme="majorHAnsi"/>
          <w:lang w:val="lv-LV"/>
        </w:rPr>
        <w:t>L</w:t>
      </w:r>
      <w:r w:rsidR="00D30938">
        <w:rPr>
          <w:rFonts w:asciiTheme="majorHAnsi" w:hAnsiTheme="majorHAnsi"/>
          <w:lang w:val="lv-LV"/>
        </w:rPr>
        <w:t>ielas diskusijas izraisīj</w:t>
      </w:r>
      <w:r w:rsidR="00C529F8">
        <w:rPr>
          <w:rFonts w:asciiTheme="majorHAnsi" w:hAnsiTheme="majorHAnsi"/>
          <w:lang w:val="lv-LV"/>
        </w:rPr>
        <w:t>usi mediju</w:t>
      </w:r>
      <w:r w:rsidR="00513CD2">
        <w:rPr>
          <w:rFonts w:asciiTheme="majorHAnsi" w:hAnsiTheme="majorHAnsi"/>
          <w:lang w:val="lv-LV"/>
        </w:rPr>
        <w:t xml:space="preserve"> vēlme izmainīt līdzšinējo finansēšanas kartību, pamatojoties uz hronisko līdzekļu nepietiekamību.</w:t>
      </w:r>
      <w:r w:rsidR="00CC6790">
        <w:rPr>
          <w:rStyle w:val="FootnoteReference"/>
          <w:rFonts w:asciiTheme="majorHAnsi" w:hAnsiTheme="majorHAnsi"/>
          <w:lang w:val="lv-LV"/>
        </w:rPr>
        <w:footnoteReference w:id="24"/>
      </w:r>
      <w:r w:rsidR="00513CD2">
        <w:rPr>
          <w:rFonts w:asciiTheme="majorHAnsi" w:hAnsiTheme="majorHAnsi"/>
          <w:lang w:val="lv-LV"/>
        </w:rPr>
        <w:t xml:space="preserve"> No mediju </w:t>
      </w:r>
      <w:r w:rsidR="00C529F8">
        <w:rPr>
          <w:rFonts w:asciiTheme="majorHAnsi" w:hAnsiTheme="majorHAnsi"/>
          <w:lang w:val="lv-LV"/>
        </w:rPr>
        <w:t xml:space="preserve">un zinātāju </w:t>
      </w:r>
      <w:r w:rsidR="00513CD2">
        <w:rPr>
          <w:rFonts w:asciiTheme="majorHAnsi" w:hAnsiTheme="majorHAnsi"/>
          <w:lang w:val="lv-LV"/>
        </w:rPr>
        <w:t>puses izskanēj</w:t>
      </w:r>
      <w:r w:rsidR="00C529F8">
        <w:rPr>
          <w:rFonts w:asciiTheme="majorHAnsi" w:hAnsiTheme="majorHAnsi"/>
          <w:lang w:val="lv-LV"/>
        </w:rPr>
        <w:t>uši</w:t>
      </w:r>
      <w:r w:rsidR="00513CD2">
        <w:rPr>
          <w:rFonts w:asciiTheme="majorHAnsi" w:hAnsiTheme="majorHAnsi"/>
          <w:lang w:val="lv-LV"/>
        </w:rPr>
        <w:t xml:space="preserve"> vairāki aicinājumi</w:t>
      </w:r>
      <w:r w:rsidR="00F35010">
        <w:rPr>
          <w:rFonts w:asciiTheme="majorHAnsi" w:hAnsiTheme="majorHAnsi"/>
          <w:lang w:val="lv-LV"/>
        </w:rPr>
        <w:t xml:space="preserve"> piesaistīt mediju finansēšanas modeli IKP 0,17% apmērā</w:t>
      </w:r>
      <w:r w:rsidR="00C529F8">
        <w:rPr>
          <w:rStyle w:val="FootnoteReference"/>
          <w:rFonts w:asciiTheme="majorHAnsi" w:hAnsiTheme="majorHAnsi"/>
          <w:lang w:val="lv-LV"/>
        </w:rPr>
        <w:footnoteReference w:id="25"/>
      </w:r>
      <w:r w:rsidR="00AB581F">
        <w:rPr>
          <w:rFonts w:asciiTheme="majorHAnsi" w:hAnsiTheme="majorHAnsi"/>
          <w:lang w:val="lv-LV"/>
        </w:rPr>
        <w:t xml:space="preserve">, to paredzot ikgadējā valsts budžetā kā fiksētu summu, norādot, ka tādējādi budžets būs stabilāks un stiprinās sabiedrisko mediju neatkarību. </w:t>
      </w:r>
      <w:r w:rsidR="00C529F8">
        <w:rPr>
          <w:rFonts w:asciiTheme="majorHAnsi" w:hAnsiTheme="majorHAnsi"/>
          <w:lang w:val="lv-LV"/>
        </w:rPr>
        <w:t xml:space="preserve">Šie 0,17 procenti aprēķināti kā Eiropas līmenim vidējs budžets sabiedriskajam medijam. </w:t>
      </w:r>
      <w:r w:rsidR="00AB581F">
        <w:rPr>
          <w:rFonts w:asciiTheme="majorHAnsi" w:hAnsiTheme="majorHAnsi"/>
          <w:lang w:val="lv-LV"/>
        </w:rPr>
        <w:t>Tomēr, gan Saeimas, gan Finanšu Ministrijas pārstāvji noliedza šād</w:t>
      </w:r>
      <w:r w:rsidR="00064BB1">
        <w:rPr>
          <w:rFonts w:asciiTheme="majorHAnsi" w:hAnsiTheme="majorHAnsi"/>
          <w:lang w:val="lv-LV"/>
        </w:rPr>
        <w:t>a budžeta modeļa nepieciešamību</w:t>
      </w:r>
      <w:r w:rsidR="00B80D87">
        <w:rPr>
          <w:rFonts w:asciiTheme="majorHAnsi" w:hAnsiTheme="majorHAnsi"/>
          <w:lang w:val="lv-LV"/>
        </w:rPr>
        <w:t>,</w:t>
      </w:r>
      <w:r w:rsidR="00064BB1">
        <w:rPr>
          <w:rFonts w:asciiTheme="majorHAnsi" w:hAnsiTheme="majorHAnsi"/>
          <w:lang w:val="lv-LV"/>
        </w:rPr>
        <w:t xml:space="preserve"> un </w:t>
      </w:r>
      <w:r w:rsidR="00B80D87">
        <w:rPr>
          <w:rFonts w:asciiTheme="majorHAnsi" w:hAnsiTheme="majorHAnsi"/>
          <w:lang w:val="lv-LV"/>
        </w:rPr>
        <w:t>jaunā likuma</w:t>
      </w:r>
      <w:r w:rsidR="00002F97">
        <w:rPr>
          <w:rFonts w:asciiTheme="majorHAnsi" w:hAnsiTheme="majorHAnsi"/>
          <w:lang w:val="lv-LV"/>
        </w:rPr>
        <w:t xml:space="preserve"> </w:t>
      </w:r>
      <w:r w:rsidR="00002F97" w:rsidRPr="008E55F7">
        <w:rPr>
          <w:rFonts w:asciiTheme="majorHAnsi" w:hAnsiTheme="majorHAnsi"/>
          <w:lang w:val="lv-LV"/>
        </w:rPr>
        <w:t>(</w:t>
      </w:r>
      <w:r w:rsidR="008E55F7">
        <w:rPr>
          <w:rFonts w:asciiTheme="majorHAnsi" w:hAnsiTheme="majorHAnsi"/>
          <w:lang w:val="lv-LV"/>
        </w:rPr>
        <w:t xml:space="preserve">Sabiedrisko elektronisko plašsaziņas līdzekļu un to pārvaldības likums) mediju </w:t>
      </w:r>
      <w:r w:rsidR="00B80D87">
        <w:rPr>
          <w:rFonts w:asciiTheme="majorHAnsi" w:hAnsiTheme="majorHAnsi"/>
          <w:lang w:val="lv-LV"/>
        </w:rPr>
        <w:t xml:space="preserve"> regulējumā netika ieviestas ilgi gaidītās </w:t>
      </w:r>
      <w:r w:rsidR="002A28EF">
        <w:rPr>
          <w:rFonts w:asciiTheme="majorHAnsi" w:hAnsiTheme="majorHAnsi"/>
          <w:lang w:val="lv-LV"/>
        </w:rPr>
        <w:t xml:space="preserve">un apspriestās </w:t>
      </w:r>
      <w:r w:rsidR="00B80D87">
        <w:rPr>
          <w:rFonts w:asciiTheme="majorHAnsi" w:hAnsiTheme="majorHAnsi"/>
          <w:lang w:val="lv-LV"/>
        </w:rPr>
        <w:t>izmaiņas mediju finansēšanā. ‘’Es domāju, ka tās ir sliktas ziņas sabiedriskajiem medijiem un līdz ar to var teikt, ka tās ir sliktas ziņas mums kā sabiedrībai’’ par šādu ne-risinājumu teicis Vidzemes Augstskolas Sabiedrības zinātņu fakultātes asociētais prof</w:t>
      </w:r>
      <w:r w:rsidR="002A28EF">
        <w:rPr>
          <w:rFonts w:asciiTheme="majorHAnsi" w:hAnsiTheme="majorHAnsi"/>
          <w:lang w:val="lv-LV"/>
        </w:rPr>
        <w:t>.,Dr.sc.comm.,</w:t>
      </w:r>
      <w:r w:rsidR="00B80D87">
        <w:rPr>
          <w:rFonts w:asciiTheme="majorHAnsi" w:hAnsiTheme="majorHAnsi"/>
          <w:lang w:val="lv-LV"/>
        </w:rPr>
        <w:t xml:space="preserve"> Jānis Buholcs.</w:t>
      </w:r>
      <w:r w:rsidR="00513CD2">
        <w:rPr>
          <w:rStyle w:val="FootnoteReference"/>
          <w:rFonts w:asciiTheme="majorHAnsi" w:hAnsiTheme="majorHAnsi"/>
          <w:lang w:val="lv-LV"/>
        </w:rPr>
        <w:footnoteReference w:id="26"/>
      </w:r>
      <w:r w:rsidR="00B80D87">
        <w:rPr>
          <w:rFonts w:asciiTheme="majorHAnsi" w:hAnsiTheme="majorHAnsi"/>
          <w:lang w:val="lv-LV"/>
        </w:rPr>
        <w:t xml:space="preserve"> </w:t>
      </w:r>
      <w:r w:rsidR="00E1792D">
        <w:rPr>
          <w:rFonts w:asciiTheme="majorHAnsi" w:hAnsiTheme="majorHAnsi"/>
          <w:lang w:val="lv-LV"/>
        </w:rPr>
        <w:t>Arī Rīgas Stradiņa universitātes Komunikācijas fakultātes dekāne, prof</w:t>
      </w:r>
      <w:r w:rsidR="002A28EF">
        <w:rPr>
          <w:rFonts w:asciiTheme="majorHAnsi" w:hAnsiTheme="majorHAnsi"/>
          <w:lang w:val="lv-LV"/>
        </w:rPr>
        <w:t>.,Dr.sc.soc.,</w:t>
      </w:r>
      <w:r w:rsidR="00E1792D">
        <w:rPr>
          <w:rFonts w:asciiTheme="majorHAnsi" w:hAnsiTheme="majorHAnsi"/>
          <w:lang w:val="lv-LV"/>
        </w:rPr>
        <w:t xml:space="preserve"> Anda Rožukalne </w:t>
      </w:r>
      <w:r w:rsidR="00A33BEF">
        <w:rPr>
          <w:rFonts w:asciiTheme="majorHAnsi" w:hAnsiTheme="majorHAnsi"/>
          <w:lang w:val="lv-LV"/>
        </w:rPr>
        <w:t>norāda</w:t>
      </w:r>
      <w:r w:rsidR="00E1792D">
        <w:rPr>
          <w:rFonts w:asciiTheme="majorHAnsi" w:hAnsiTheme="majorHAnsi"/>
          <w:lang w:val="lv-LV"/>
        </w:rPr>
        <w:t>, ka ar esošā modeļa saglabāšanu nevar samazināt draudus sabiedrisko mediju neatkarībai</w:t>
      </w:r>
      <w:r w:rsidR="00A33BEF">
        <w:rPr>
          <w:rFonts w:asciiTheme="majorHAnsi" w:hAnsiTheme="majorHAnsi"/>
          <w:lang w:val="lv-LV"/>
        </w:rPr>
        <w:t>.</w:t>
      </w:r>
      <w:r w:rsidR="00E1792D">
        <w:rPr>
          <w:rStyle w:val="FootnoteReference"/>
          <w:rFonts w:asciiTheme="majorHAnsi" w:hAnsiTheme="majorHAnsi"/>
          <w:lang w:val="lv-LV"/>
        </w:rPr>
        <w:footnoteReference w:id="27"/>
      </w:r>
      <w:r w:rsidR="00E1792D">
        <w:rPr>
          <w:rFonts w:asciiTheme="majorHAnsi" w:hAnsiTheme="majorHAnsi"/>
          <w:lang w:val="lv-LV"/>
        </w:rPr>
        <w:t xml:space="preserve"> </w:t>
      </w:r>
      <w:r w:rsidR="0092063F">
        <w:rPr>
          <w:rFonts w:asciiTheme="majorHAnsi" w:hAnsiTheme="majorHAnsi"/>
          <w:lang w:val="lv-LV"/>
        </w:rPr>
        <w:t>Tomēr skaidrs paliek fakts, ka, ja pie līdzšinējā finansēšanas modeļa sabiedriskais medijs ilgstoši nav guvis nepieciešamos resursus – modelim ir jāmainās. Pie tam, finansēšanas modeli</w:t>
      </w:r>
      <w:r w:rsidR="007A31AE">
        <w:rPr>
          <w:rFonts w:asciiTheme="majorHAnsi" w:hAnsiTheme="majorHAnsi"/>
          <w:lang w:val="lv-LV"/>
        </w:rPr>
        <w:t>s</w:t>
      </w:r>
      <w:r w:rsidR="0092063F">
        <w:rPr>
          <w:rFonts w:asciiTheme="majorHAnsi" w:hAnsiTheme="majorHAnsi"/>
          <w:lang w:val="lv-LV"/>
        </w:rPr>
        <w:t xml:space="preserve">, kas </w:t>
      </w:r>
      <w:r w:rsidR="007A31AE">
        <w:rPr>
          <w:rFonts w:asciiTheme="majorHAnsi" w:hAnsiTheme="majorHAnsi"/>
          <w:lang w:val="lv-LV"/>
        </w:rPr>
        <w:t xml:space="preserve">līdzšinēji bijis </w:t>
      </w:r>
      <w:r w:rsidR="0092063F">
        <w:rPr>
          <w:rFonts w:asciiTheme="majorHAnsi" w:hAnsiTheme="majorHAnsi"/>
          <w:lang w:val="lv-LV"/>
        </w:rPr>
        <w:t xml:space="preserve">ļoti </w:t>
      </w:r>
      <w:r w:rsidR="009F02A4">
        <w:rPr>
          <w:rFonts w:asciiTheme="majorHAnsi" w:hAnsiTheme="majorHAnsi"/>
          <w:lang w:val="lv-LV"/>
        </w:rPr>
        <w:t xml:space="preserve">atkarīgs no politisko spēku lēmuma, </w:t>
      </w:r>
      <w:r w:rsidR="007A31AE">
        <w:rPr>
          <w:rFonts w:asciiTheme="majorHAnsi" w:hAnsiTheme="majorHAnsi"/>
          <w:lang w:val="lv-LV"/>
        </w:rPr>
        <w:t>jākļūst maksimāli politiski neatkarīgam, palielinot dažādību naudas plūsmā.</w:t>
      </w:r>
      <w:r w:rsidR="007A31AE">
        <w:rPr>
          <w:rStyle w:val="FootnoteReference"/>
          <w:rFonts w:asciiTheme="majorHAnsi" w:hAnsiTheme="majorHAnsi"/>
          <w:lang w:val="lv-LV"/>
        </w:rPr>
        <w:footnoteReference w:id="28"/>
      </w:r>
      <w:r w:rsidR="00E1792D">
        <w:rPr>
          <w:rFonts w:asciiTheme="majorHAnsi" w:hAnsiTheme="majorHAnsi"/>
          <w:lang w:val="lv-LV"/>
        </w:rPr>
        <w:t xml:space="preserve"> </w:t>
      </w:r>
    </w:p>
    <w:p w14:paraId="65CFA181" w14:textId="6FF3F09D" w:rsidR="00D40EE5" w:rsidRDefault="003D12B8" w:rsidP="00CC6790">
      <w:pPr>
        <w:pStyle w:val="BodyText"/>
        <w:numPr>
          <w:ilvl w:val="1"/>
          <w:numId w:val="29"/>
        </w:numPr>
        <w:spacing w:after="120"/>
        <w:ind w:left="788" w:hanging="431"/>
        <w:jc w:val="both"/>
        <w:rPr>
          <w:rFonts w:asciiTheme="majorHAnsi" w:hAnsiTheme="majorHAnsi"/>
          <w:lang w:val="lv-LV"/>
        </w:rPr>
      </w:pPr>
      <w:r w:rsidRPr="00C47CA7">
        <w:rPr>
          <w:rFonts w:asciiTheme="majorHAnsi" w:hAnsiTheme="majorHAnsi"/>
          <w:lang w:val="lv-LV"/>
        </w:rPr>
        <w:t>Tomēr, jāsecina, ka pie pašreizējā</w:t>
      </w:r>
      <w:r w:rsidR="00C47CA7">
        <w:rPr>
          <w:rFonts w:asciiTheme="majorHAnsi" w:hAnsiTheme="majorHAnsi"/>
          <w:lang w:val="lv-LV"/>
        </w:rPr>
        <w:t>s</w:t>
      </w:r>
      <w:r w:rsidRPr="00C47CA7">
        <w:rPr>
          <w:rFonts w:asciiTheme="majorHAnsi" w:hAnsiTheme="majorHAnsi"/>
          <w:lang w:val="lv-LV"/>
        </w:rPr>
        <w:t xml:space="preserve"> politiskā</w:t>
      </w:r>
      <w:r w:rsidR="00C47CA7" w:rsidRPr="00C47CA7">
        <w:rPr>
          <w:rFonts w:asciiTheme="majorHAnsi" w:hAnsiTheme="majorHAnsi"/>
          <w:lang w:val="lv-LV"/>
        </w:rPr>
        <w:t>s pārvaldes</w:t>
      </w:r>
      <w:r w:rsidR="001C3756">
        <w:rPr>
          <w:rFonts w:asciiTheme="majorHAnsi" w:hAnsiTheme="majorHAnsi"/>
          <w:lang w:val="lv-LV"/>
        </w:rPr>
        <w:t xml:space="preserve"> attieksmes</w:t>
      </w:r>
      <w:r w:rsidR="00C47CA7">
        <w:rPr>
          <w:rFonts w:asciiTheme="majorHAnsi" w:hAnsiTheme="majorHAnsi"/>
          <w:lang w:val="lv-LV"/>
        </w:rPr>
        <w:t>, sabiedriskā medija finansēšanas piesaistīšana IKP konkrēta procenta apmērā nav garantija budžeta piešķiršanai</w:t>
      </w:r>
      <w:r w:rsidR="004655DF">
        <w:rPr>
          <w:rFonts w:asciiTheme="majorHAnsi" w:hAnsiTheme="majorHAnsi"/>
          <w:lang w:val="lv-LV"/>
        </w:rPr>
        <w:t xml:space="preserve"> šādā apmērā</w:t>
      </w:r>
      <w:r w:rsidR="00C47CA7">
        <w:rPr>
          <w:rFonts w:asciiTheme="majorHAnsi" w:hAnsiTheme="majorHAnsi"/>
          <w:lang w:val="lv-LV"/>
        </w:rPr>
        <w:t xml:space="preserve">. Šādā situācijā izskaidrojums rodams Satversmes tiesas </w:t>
      </w:r>
      <w:r w:rsidR="00A97EAA">
        <w:rPr>
          <w:rFonts w:asciiTheme="majorHAnsi" w:hAnsiTheme="majorHAnsi"/>
          <w:lang w:val="lv-LV"/>
        </w:rPr>
        <w:t xml:space="preserve">2020.gada 29.oktobra spriedumā Nr.2019-29-01, kurā tiesa atzīst par Satversmei neatbilstošu </w:t>
      </w:r>
      <w:r w:rsidR="004655DF">
        <w:rPr>
          <w:rFonts w:asciiTheme="majorHAnsi" w:hAnsiTheme="majorHAnsi"/>
          <w:lang w:val="lv-LV"/>
        </w:rPr>
        <w:t xml:space="preserve">valsts </w:t>
      </w:r>
      <w:r w:rsidR="00A97EAA">
        <w:rPr>
          <w:rFonts w:asciiTheme="majorHAnsi" w:hAnsiTheme="majorHAnsi"/>
          <w:lang w:val="lv-LV"/>
        </w:rPr>
        <w:t>Augstskolu finansējumu, kas piesaistīts IKP – 0,25% apmērā. Vēl jo vairāk, tiesas spriedumā skaidri izteikta atziņa, ka Augstskolu likuma, nu jau par spēkā neesošu atzītā, 78.panta septītā daļa, kura noteica, ka ikgadējā budžetā valsts Augstskolu finansējumam atvēl 0,25% no IKP, ir ‘’tipiska priekšvēlēšanu norma’’, kas ietver tikai nākotnes solījumu sabiedrībai. Tas, ka šāda apmēra budžetu faktiski Augstskolām nepiešķir jau no 2014.gada, ir normāli un būtu sabiedrībai jāsaprot.</w:t>
      </w:r>
      <w:r w:rsidR="00A97EAA">
        <w:rPr>
          <w:rStyle w:val="FootnoteReference"/>
          <w:rFonts w:asciiTheme="majorHAnsi" w:hAnsiTheme="majorHAnsi"/>
          <w:lang w:val="lv-LV"/>
        </w:rPr>
        <w:footnoteReference w:id="29"/>
      </w:r>
      <w:r w:rsidR="001C3756">
        <w:rPr>
          <w:rFonts w:asciiTheme="majorHAnsi" w:hAnsiTheme="majorHAnsi"/>
          <w:lang w:val="lv-LV"/>
        </w:rPr>
        <w:t xml:space="preserve"> Diemžēl no šāda skatu punkta </w:t>
      </w:r>
      <w:r w:rsidR="00CC6790">
        <w:rPr>
          <w:rFonts w:asciiTheme="majorHAnsi" w:hAnsiTheme="majorHAnsi"/>
          <w:lang w:val="lv-LV"/>
        </w:rPr>
        <w:t>redzams</w:t>
      </w:r>
      <w:r w:rsidR="001C3756">
        <w:rPr>
          <w:rFonts w:asciiTheme="majorHAnsi" w:hAnsiTheme="majorHAnsi"/>
          <w:lang w:val="lv-LV"/>
        </w:rPr>
        <w:t xml:space="preserve">, ka pat konkrēta IKP procenta apmēra noteikšana mediju finansēšanai neatnesīs medijam vēlēto rezultātu. </w:t>
      </w:r>
      <w:r w:rsidR="00EA6A97" w:rsidRPr="00CC6790">
        <w:rPr>
          <w:rFonts w:asciiTheme="majorHAnsi" w:hAnsiTheme="majorHAnsi"/>
          <w:lang w:val="lv-LV"/>
        </w:rPr>
        <w:t xml:space="preserve">Lai gan, </w:t>
      </w:r>
      <w:r w:rsidR="00EA6A97" w:rsidRPr="00CC6790">
        <w:rPr>
          <w:rFonts w:asciiTheme="majorHAnsi" w:hAnsiTheme="majorHAnsi"/>
          <w:lang w:val="lv-LV"/>
        </w:rPr>
        <w:lastRenderedPageBreak/>
        <w:t>izskanējuši arī negatīvi viedokļi par sabiedrības iesaisti mediju finansēšanā</w:t>
      </w:r>
      <w:r w:rsidR="00EA6A97">
        <w:rPr>
          <w:rStyle w:val="FootnoteReference"/>
          <w:rFonts w:asciiTheme="majorHAnsi" w:hAnsiTheme="majorHAnsi"/>
          <w:lang w:val="lv-LV"/>
        </w:rPr>
        <w:footnoteReference w:id="30"/>
      </w:r>
      <w:r w:rsidR="00EA6A97" w:rsidRPr="00CC6790">
        <w:rPr>
          <w:rFonts w:asciiTheme="majorHAnsi" w:hAnsiTheme="majorHAnsi"/>
          <w:lang w:val="lv-LV"/>
        </w:rPr>
        <w:t xml:space="preserve">, </w:t>
      </w:r>
      <w:r w:rsidR="0081470F" w:rsidRPr="00CC6790">
        <w:rPr>
          <w:rFonts w:asciiTheme="majorHAnsi" w:hAnsiTheme="majorHAnsi"/>
          <w:lang w:val="lv-LV"/>
        </w:rPr>
        <w:t xml:space="preserve">konkrētajos politiskajos apstākļos, </w:t>
      </w:r>
      <w:r w:rsidR="004655DF">
        <w:rPr>
          <w:rFonts w:asciiTheme="majorHAnsi" w:hAnsiTheme="majorHAnsi"/>
          <w:lang w:val="lv-LV"/>
        </w:rPr>
        <w:t xml:space="preserve">arī </w:t>
      </w:r>
      <w:r w:rsidR="0081470F" w:rsidRPr="00CC6790">
        <w:rPr>
          <w:rFonts w:asciiTheme="majorHAnsi" w:hAnsiTheme="majorHAnsi"/>
          <w:lang w:val="lv-LV"/>
        </w:rPr>
        <w:t xml:space="preserve">mūsu ieskatā, tas ir viens no Latvijai </w:t>
      </w:r>
      <w:r w:rsidR="006F106F" w:rsidRPr="00CC6790">
        <w:rPr>
          <w:rFonts w:asciiTheme="majorHAnsi" w:hAnsiTheme="majorHAnsi"/>
          <w:lang w:val="lv-LV"/>
        </w:rPr>
        <w:t xml:space="preserve">pašlaik </w:t>
      </w:r>
      <w:r w:rsidR="0081470F" w:rsidRPr="00CC6790">
        <w:rPr>
          <w:rFonts w:asciiTheme="majorHAnsi" w:hAnsiTheme="majorHAnsi"/>
          <w:lang w:val="lv-LV"/>
        </w:rPr>
        <w:t xml:space="preserve">pieejamākajiem alternatīviem risinājumiem, lai sabiedriskais medijs varētu turpināt eksistēt. </w:t>
      </w:r>
      <w:r w:rsidR="004655DF">
        <w:rPr>
          <w:rFonts w:asciiTheme="majorHAnsi" w:hAnsiTheme="majorHAnsi"/>
          <w:lang w:val="lv-LV"/>
        </w:rPr>
        <w:t>Arī turpmāk pieminētā ārvalstu prakse norāda, ka sabiedrības kā gala patērētāja iesaiste medija finansēšanā ir normāla prakse un nodrošina medija politisko neatkarību.</w:t>
      </w:r>
      <w:r w:rsidR="0081470F" w:rsidRPr="00CC6790">
        <w:rPr>
          <w:rFonts w:asciiTheme="majorHAnsi" w:hAnsiTheme="majorHAnsi"/>
          <w:lang w:val="lv-LV"/>
        </w:rPr>
        <w:t xml:space="preserve"> </w:t>
      </w:r>
      <w:r w:rsidR="00CC6790">
        <w:rPr>
          <w:rFonts w:asciiTheme="majorHAnsi" w:hAnsiTheme="majorHAnsi"/>
          <w:lang w:val="lv-LV"/>
        </w:rPr>
        <w:t xml:space="preserve">Svarīga medija neatkarības sastāvdaļa ir arī </w:t>
      </w:r>
      <w:r w:rsidR="00FC4D9E">
        <w:rPr>
          <w:rFonts w:asciiTheme="majorHAnsi" w:hAnsiTheme="majorHAnsi"/>
          <w:lang w:val="lv-LV"/>
        </w:rPr>
        <w:t>jautājums</w:t>
      </w:r>
      <w:r w:rsidR="00CC6790">
        <w:rPr>
          <w:rFonts w:asciiTheme="majorHAnsi" w:hAnsiTheme="majorHAnsi"/>
          <w:lang w:val="lv-LV"/>
        </w:rPr>
        <w:t>, kas administrē un iedala ienākumus sabiedriskā medija ‘’iekšienē’’</w:t>
      </w:r>
      <w:r w:rsidR="00FC4D9E">
        <w:rPr>
          <w:rFonts w:asciiTheme="majorHAnsi" w:hAnsiTheme="majorHAnsi"/>
          <w:lang w:val="lv-LV"/>
        </w:rPr>
        <w:t>.</w:t>
      </w:r>
      <w:r w:rsidR="00CC6790">
        <w:rPr>
          <w:rFonts w:asciiTheme="majorHAnsi" w:hAnsiTheme="majorHAnsi"/>
          <w:lang w:val="lv-LV"/>
        </w:rPr>
        <w:t xml:space="preserve"> </w:t>
      </w:r>
      <w:r w:rsidR="00FC4D9E">
        <w:rPr>
          <w:rFonts w:asciiTheme="majorHAnsi" w:hAnsiTheme="majorHAnsi"/>
          <w:lang w:val="lv-LV"/>
        </w:rPr>
        <w:t>P</w:t>
      </w:r>
      <w:r w:rsidR="00CC6790">
        <w:rPr>
          <w:rFonts w:asciiTheme="majorHAnsi" w:hAnsiTheme="majorHAnsi"/>
          <w:lang w:val="lv-LV"/>
        </w:rPr>
        <w:t>roti, ja valsts ir galvenā</w:t>
      </w:r>
      <w:r w:rsidR="00FC4D9E">
        <w:rPr>
          <w:rFonts w:asciiTheme="majorHAnsi" w:hAnsiTheme="majorHAnsi"/>
          <w:lang w:val="lv-LV"/>
        </w:rPr>
        <w:t>, nosakot budžeta izlietojumu,</w:t>
      </w:r>
      <w:r w:rsidR="00CC6790">
        <w:rPr>
          <w:rFonts w:asciiTheme="majorHAnsi" w:hAnsiTheme="majorHAnsi"/>
          <w:lang w:val="lv-LV"/>
        </w:rPr>
        <w:t xml:space="preserve"> arī šajā lēmumā, arī tādējādi medijs riskē ar politisku manipulāciju.</w:t>
      </w:r>
      <w:r w:rsidR="00CC6790">
        <w:rPr>
          <w:rStyle w:val="FootnoteReference"/>
          <w:rFonts w:asciiTheme="majorHAnsi" w:hAnsiTheme="majorHAnsi"/>
          <w:lang w:val="lv-LV"/>
        </w:rPr>
        <w:footnoteReference w:id="31"/>
      </w:r>
      <w:r w:rsidR="00CC6790">
        <w:rPr>
          <w:rFonts w:asciiTheme="majorHAnsi" w:hAnsiTheme="majorHAnsi"/>
          <w:lang w:val="lv-LV"/>
        </w:rPr>
        <w:t xml:space="preserve"> Tātad, arī šim mehānismam jābūt politiski neatkarīgam. Piemēram, Tunisijā, sabiedrisko mediju finansē ar fiksētas summas piesaisti elektrības rēķinam, taču šī summa tālāk nonāk valsts kasē, kas rada korupcij</w:t>
      </w:r>
      <w:r w:rsidR="002A1D93">
        <w:rPr>
          <w:rFonts w:asciiTheme="majorHAnsi" w:hAnsiTheme="majorHAnsi"/>
          <w:lang w:val="lv-LV"/>
        </w:rPr>
        <w:t>u</w:t>
      </w:r>
      <w:r w:rsidR="00CC6790">
        <w:rPr>
          <w:rFonts w:asciiTheme="majorHAnsi" w:hAnsiTheme="majorHAnsi"/>
          <w:lang w:val="lv-LV"/>
        </w:rPr>
        <w:t xml:space="preserve"> un politisk</w:t>
      </w:r>
      <w:r w:rsidR="002A1D93">
        <w:rPr>
          <w:rFonts w:asciiTheme="majorHAnsi" w:hAnsiTheme="majorHAnsi"/>
          <w:lang w:val="lv-LV"/>
        </w:rPr>
        <w:t>o</w:t>
      </w:r>
      <w:r w:rsidR="00CC6790">
        <w:rPr>
          <w:rFonts w:asciiTheme="majorHAnsi" w:hAnsiTheme="majorHAnsi"/>
          <w:lang w:val="lv-LV"/>
        </w:rPr>
        <w:t xml:space="preserve"> spiedien</w:t>
      </w:r>
      <w:r w:rsidR="002A1D93">
        <w:rPr>
          <w:rFonts w:asciiTheme="majorHAnsi" w:hAnsiTheme="majorHAnsi"/>
          <w:lang w:val="lv-LV"/>
        </w:rPr>
        <w:t xml:space="preserve">u. </w:t>
      </w:r>
    </w:p>
    <w:p w14:paraId="324A8B0F" w14:textId="228EACD5" w:rsidR="0081470F" w:rsidRPr="00CC6790" w:rsidRDefault="006F106F" w:rsidP="00CC6790">
      <w:pPr>
        <w:pStyle w:val="BodyText"/>
        <w:numPr>
          <w:ilvl w:val="1"/>
          <w:numId w:val="29"/>
        </w:numPr>
        <w:spacing w:after="120"/>
        <w:ind w:left="788" w:hanging="431"/>
        <w:jc w:val="both"/>
        <w:rPr>
          <w:rFonts w:asciiTheme="majorHAnsi" w:hAnsiTheme="majorHAnsi"/>
          <w:lang w:val="lv-LV"/>
        </w:rPr>
      </w:pPr>
      <w:r w:rsidRPr="00CC6790">
        <w:rPr>
          <w:rFonts w:asciiTheme="majorHAnsi" w:hAnsiTheme="majorHAnsi"/>
          <w:lang w:val="lv-LV"/>
        </w:rPr>
        <w:t xml:space="preserve">Piemēram, </w:t>
      </w:r>
      <w:r w:rsidRPr="002D52C5">
        <w:rPr>
          <w:rFonts w:asciiTheme="majorHAnsi" w:hAnsiTheme="majorHAnsi"/>
          <w:b/>
          <w:bCs/>
          <w:lang w:val="lv-LV"/>
        </w:rPr>
        <w:t>Lietuvas</w:t>
      </w:r>
      <w:r w:rsidRPr="00CC6790">
        <w:rPr>
          <w:rFonts w:asciiTheme="majorHAnsi" w:hAnsiTheme="majorHAnsi"/>
          <w:lang w:val="lv-LV"/>
        </w:rPr>
        <w:t xml:space="preserve"> publisko mediju sistēm</w:t>
      </w:r>
      <w:r w:rsidR="00F10787" w:rsidRPr="00CC6790">
        <w:rPr>
          <w:rFonts w:asciiTheme="majorHAnsi" w:hAnsiTheme="majorHAnsi"/>
          <w:lang w:val="lv-LV"/>
        </w:rPr>
        <w:t>ā piešķirto finansējumu administrē</w:t>
      </w:r>
      <w:r w:rsidR="00A51592" w:rsidRPr="00CC6790">
        <w:rPr>
          <w:rFonts w:asciiTheme="majorHAnsi" w:hAnsiTheme="majorHAnsi"/>
          <w:lang w:val="lv-LV"/>
        </w:rPr>
        <w:t xml:space="preserve"> un organizē</w:t>
      </w:r>
      <w:r w:rsidR="00F10787" w:rsidRPr="00CC6790">
        <w:rPr>
          <w:rFonts w:asciiTheme="majorHAnsi" w:hAnsiTheme="majorHAnsi"/>
          <w:lang w:val="lv-LV"/>
        </w:rPr>
        <w:t xml:space="preserve"> neatkarīga institūcija – Preses, Radio un TV atbalsta Fonds.</w:t>
      </w:r>
      <w:r w:rsidR="00FF4507">
        <w:rPr>
          <w:rStyle w:val="FootnoteReference"/>
          <w:rFonts w:asciiTheme="majorHAnsi" w:hAnsiTheme="majorHAnsi"/>
          <w:lang w:val="lv-LV"/>
        </w:rPr>
        <w:footnoteReference w:id="32"/>
      </w:r>
      <w:r w:rsidR="00F10787" w:rsidRPr="00CC6790">
        <w:rPr>
          <w:rFonts w:asciiTheme="majorHAnsi" w:hAnsiTheme="majorHAnsi"/>
          <w:lang w:val="lv-LV"/>
        </w:rPr>
        <w:t xml:space="preserve"> </w:t>
      </w:r>
      <w:r w:rsidR="00FF4507" w:rsidRPr="00CC6790">
        <w:rPr>
          <w:rFonts w:asciiTheme="majorHAnsi" w:hAnsiTheme="majorHAnsi"/>
          <w:lang w:val="lv-LV"/>
        </w:rPr>
        <w:t xml:space="preserve">Budžets </w:t>
      </w:r>
      <w:r w:rsidR="00A03C2F" w:rsidRPr="00CC6790">
        <w:rPr>
          <w:rFonts w:asciiTheme="majorHAnsi" w:hAnsiTheme="majorHAnsi"/>
          <w:lang w:val="lv-LV"/>
        </w:rPr>
        <w:t xml:space="preserve">sabiedriskajam medijam </w:t>
      </w:r>
      <w:r w:rsidR="00FF4507" w:rsidRPr="00CC6790">
        <w:rPr>
          <w:rFonts w:asciiTheme="majorHAnsi" w:hAnsiTheme="majorHAnsi"/>
          <w:lang w:val="lv-LV"/>
        </w:rPr>
        <w:t>tiek aprēķināts automātiski, ņemot to kā fiksētu procentu no valsts nodokļu</w:t>
      </w:r>
      <w:r w:rsidR="00A03C2F" w:rsidRPr="00CC6790">
        <w:rPr>
          <w:rFonts w:asciiTheme="majorHAnsi" w:hAnsiTheme="majorHAnsi"/>
          <w:lang w:val="lv-LV"/>
        </w:rPr>
        <w:t xml:space="preserve"> ikgadējiem</w:t>
      </w:r>
      <w:r w:rsidR="00FF4507" w:rsidRPr="00CC6790">
        <w:rPr>
          <w:rFonts w:asciiTheme="majorHAnsi" w:hAnsiTheme="majorHAnsi"/>
          <w:lang w:val="lv-LV"/>
        </w:rPr>
        <w:t xml:space="preserve"> ieņēmumiem, un to nedrīkst pārskatīt valdība.</w:t>
      </w:r>
      <w:r w:rsidR="00FF4507">
        <w:rPr>
          <w:rStyle w:val="FootnoteReference"/>
          <w:rFonts w:asciiTheme="majorHAnsi" w:hAnsiTheme="majorHAnsi"/>
          <w:lang w:val="lv-LV"/>
        </w:rPr>
        <w:footnoteReference w:id="33"/>
      </w:r>
      <w:r w:rsidR="00A03C2F" w:rsidRPr="00CC6790">
        <w:rPr>
          <w:rFonts w:asciiTheme="majorHAnsi" w:hAnsiTheme="majorHAnsi"/>
          <w:lang w:val="lv-LV"/>
        </w:rPr>
        <w:t xml:space="preserve">  Lietuvas valdība šādu normu apstrīdēja Lietuvas konstitucionālajā tiesā, norādot, ka šāda kārtība ir pretrunā Lietuvas Konstitūcijai, jo aizliedz valdībai veikt politiskus apsvērumus budžeta izlietošanā. Taču, Lietuvas konstitucionālā tiesa atzina, ka šāds finansējuma veids aizsargā sabiedrisko mediju no politiskā spiediena. Saskaņā ar Lietuvas publisko mediju likumu, sabiedriskā medija finansēšanai no ikgadējiem ienākuma nodokļa ieņēmumiem jāatvēl 1,5% un 1,3% no iekasētajiem akcīzes nodokļiem. Lietuvas sabiedriskā medija budžets 2020.gadā ir bijis 46,3 milj. euro un 2021.gadā plānots, ka tas palielināsies</w:t>
      </w:r>
      <w:r w:rsidR="00D263D0">
        <w:rPr>
          <w:rFonts w:asciiTheme="majorHAnsi" w:hAnsiTheme="majorHAnsi"/>
          <w:lang w:val="lv-LV"/>
        </w:rPr>
        <w:t xml:space="preserve"> līdz</w:t>
      </w:r>
      <w:r w:rsidR="00A03C2F" w:rsidRPr="00CC6790">
        <w:rPr>
          <w:rFonts w:asciiTheme="majorHAnsi" w:hAnsiTheme="majorHAnsi"/>
          <w:lang w:val="lv-LV"/>
        </w:rPr>
        <w:t xml:space="preserve"> aptuveni 53,8 milj. euro.</w:t>
      </w:r>
      <w:r w:rsidR="00A03C2F">
        <w:rPr>
          <w:rStyle w:val="FootnoteReference"/>
          <w:rFonts w:asciiTheme="majorHAnsi" w:hAnsiTheme="majorHAnsi"/>
          <w:lang w:val="lv-LV"/>
        </w:rPr>
        <w:footnoteReference w:id="34"/>
      </w:r>
      <w:r w:rsidR="00D263D0">
        <w:rPr>
          <w:rFonts w:asciiTheme="majorHAnsi" w:hAnsiTheme="majorHAnsi"/>
          <w:lang w:val="lv-LV"/>
        </w:rPr>
        <w:t xml:space="preserve"> </w:t>
      </w:r>
    </w:p>
    <w:p w14:paraId="2CA22593" w14:textId="36CC230D" w:rsidR="0081470F" w:rsidRPr="0081470F" w:rsidRDefault="006F7DBE" w:rsidP="0081470F">
      <w:pPr>
        <w:pStyle w:val="BodyText"/>
        <w:numPr>
          <w:ilvl w:val="1"/>
          <w:numId w:val="29"/>
        </w:numPr>
        <w:spacing w:before="240" w:after="120"/>
        <w:ind w:left="788" w:hanging="431"/>
        <w:jc w:val="both"/>
        <w:rPr>
          <w:rFonts w:asciiTheme="majorHAnsi" w:hAnsiTheme="majorHAnsi"/>
          <w:b/>
          <w:bCs/>
          <w:lang w:val="lv-LV"/>
        </w:rPr>
      </w:pPr>
      <w:r>
        <w:rPr>
          <w:rFonts w:asciiTheme="majorHAnsi" w:hAnsiTheme="majorHAnsi"/>
          <w:lang w:val="lv-LV"/>
        </w:rPr>
        <w:t xml:space="preserve">Jānorāda, ka saskaņā ar starptautiski atzīto </w:t>
      </w:r>
      <w:r w:rsidRPr="004A029D">
        <w:rPr>
          <w:rFonts w:asciiTheme="majorHAnsi" w:hAnsiTheme="majorHAnsi"/>
          <w:b/>
          <w:bCs/>
          <w:lang w:val="lv-LV"/>
        </w:rPr>
        <w:t>Transformācijas indeksu</w:t>
      </w:r>
      <w:r>
        <w:rPr>
          <w:rFonts w:asciiTheme="majorHAnsi" w:hAnsiTheme="majorHAnsi"/>
          <w:lang w:val="lv-LV"/>
        </w:rPr>
        <w:t xml:space="preserve"> (angļu – ‘’Bertelsmann Stiftung’s international Transformational Index) jeb ‘’</w:t>
      </w:r>
      <w:r w:rsidRPr="000A0367">
        <w:rPr>
          <w:rFonts w:asciiTheme="majorHAnsi" w:hAnsiTheme="majorHAnsi"/>
          <w:b/>
          <w:bCs/>
          <w:lang w:val="lv-LV"/>
        </w:rPr>
        <w:t>BTI</w:t>
      </w:r>
      <w:r>
        <w:rPr>
          <w:rFonts w:asciiTheme="majorHAnsi" w:hAnsiTheme="majorHAnsi"/>
          <w:lang w:val="lv-LV"/>
        </w:rPr>
        <w:t xml:space="preserve">’’, ar kuru </w:t>
      </w:r>
      <w:r w:rsidR="007C0D1A">
        <w:rPr>
          <w:rFonts w:asciiTheme="majorHAnsi" w:hAnsiTheme="majorHAnsi"/>
          <w:lang w:val="lv-LV"/>
        </w:rPr>
        <w:t xml:space="preserve">ik gadu </w:t>
      </w:r>
      <w:r>
        <w:rPr>
          <w:rFonts w:asciiTheme="majorHAnsi" w:hAnsiTheme="majorHAnsi"/>
          <w:lang w:val="lv-LV"/>
        </w:rPr>
        <w:t>‘’mēra’’ demokrātijas kvalitāti</w:t>
      </w:r>
      <w:r w:rsidR="007C0D1A">
        <w:rPr>
          <w:rFonts w:asciiTheme="majorHAnsi" w:hAnsiTheme="majorHAnsi"/>
          <w:lang w:val="lv-LV"/>
        </w:rPr>
        <w:t xml:space="preserve"> 137 pasaules attīstītajās un mazāk attīstītajās valstīs</w:t>
      </w:r>
      <w:r>
        <w:rPr>
          <w:rFonts w:asciiTheme="majorHAnsi" w:hAnsiTheme="majorHAnsi"/>
          <w:lang w:val="lv-LV"/>
        </w:rPr>
        <w:t xml:space="preserve">, tirgus ekonomiku un pārvaldības kvalitāti, par vienu no svarīgākajiem indeksa rādītājiem ir atzinusi preses brīvību, (tajā skaitā, viedokļa izteiksmes brīvību). It sevišķi, COVID-19 ietekmē, rādītāji </w:t>
      </w:r>
      <w:r w:rsidR="007C0D1A">
        <w:rPr>
          <w:rFonts w:asciiTheme="majorHAnsi" w:hAnsiTheme="majorHAnsi"/>
          <w:lang w:val="lv-LV"/>
        </w:rPr>
        <w:t xml:space="preserve">daudzās </w:t>
      </w:r>
      <w:r>
        <w:rPr>
          <w:rFonts w:asciiTheme="majorHAnsi" w:hAnsiTheme="majorHAnsi"/>
          <w:lang w:val="lv-LV"/>
        </w:rPr>
        <w:t>pasaules valstīs strauji kritušies, norādot, ka apmēram katrā piektajā attīstītajā valstī demokrātijas kvalitāte ir samazinājusies. Kā slikts piemērs min</w:t>
      </w:r>
      <w:r w:rsidR="00CB5D6E">
        <w:rPr>
          <w:rFonts w:asciiTheme="majorHAnsi" w:hAnsiTheme="majorHAnsi"/>
          <w:lang w:val="lv-LV"/>
        </w:rPr>
        <w:t>ēta</w:t>
      </w:r>
      <w:r>
        <w:rPr>
          <w:rFonts w:asciiTheme="majorHAnsi" w:hAnsiTheme="majorHAnsi"/>
          <w:lang w:val="lv-LV"/>
        </w:rPr>
        <w:t xml:space="preserve"> Ungārija, kurā ārkārtas lēmums nepiemērot varas dalīšanas principu un visu nodot izpildvaras rokās novedis Ungāriju uz straujas autokrātijas ceļa riska.</w:t>
      </w:r>
      <w:r>
        <w:rPr>
          <w:rStyle w:val="FootnoteReference"/>
          <w:rFonts w:asciiTheme="majorHAnsi" w:hAnsiTheme="majorHAnsi"/>
          <w:lang w:val="lv-LV"/>
        </w:rPr>
        <w:footnoteReference w:id="35"/>
      </w:r>
      <w:r>
        <w:rPr>
          <w:rFonts w:asciiTheme="majorHAnsi" w:hAnsiTheme="majorHAnsi"/>
          <w:lang w:val="lv-LV"/>
        </w:rPr>
        <w:t xml:space="preserve"> Šādu korelāciju uzrāda arī </w:t>
      </w:r>
      <w:r w:rsidRPr="004A029D">
        <w:rPr>
          <w:rFonts w:asciiTheme="majorHAnsi" w:hAnsiTheme="majorHAnsi"/>
          <w:b/>
          <w:bCs/>
          <w:lang w:val="lv-LV"/>
        </w:rPr>
        <w:t>Pasaules Preses Brīvības Indekss</w:t>
      </w:r>
      <w:r>
        <w:rPr>
          <w:rFonts w:asciiTheme="majorHAnsi" w:hAnsiTheme="majorHAnsi"/>
          <w:lang w:val="lv-LV"/>
        </w:rPr>
        <w:t xml:space="preserve"> (angļu – ‘’World Press Freedom Index</w:t>
      </w:r>
      <w:r w:rsidR="000A0367">
        <w:rPr>
          <w:rFonts w:asciiTheme="majorHAnsi" w:hAnsiTheme="majorHAnsi"/>
          <w:lang w:val="lv-LV"/>
        </w:rPr>
        <w:t>’’) jeb ‘’</w:t>
      </w:r>
      <w:r w:rsidR="000A0367" w:rsidRPr="000A0367">
        <w:rPr>
          <w:rFonts w:asciiTheme="majorHAnsi" w:hAnsiTheme="majorHAnsi"/>
          <w:b/>
          <w:bCs/>
          <w:lang w:val="lv-LV"/>
        </w:rPr>
        <w:t>WPFI</w:t>
      </w:r>
      <w:r w:rsidR="000A0367">
        <w:rPr>
          <w:rFonts w:asciiTheme="majorHAnsi" w:hAnsiTheme="majorHAnsi"/>
          <w:lang w:val="lv-LV"/>
        </w:rPr>
        <w:t xml:space="preserve">’’, ar kuru katru gada izpēta 180 pasaules valstu stāvokli žurnālistikā un sarindo valstis atbilstoši kvalitātes līmenim. Viens no svarīgākajiem aspektiem, ko vērtē un arī reizē atzīst par nākotnes draudu sabiedriskajam medijam, ir </w:t>
      </w:r>
      <w:r w:rsidR="000A0367" w:rsidRPr="00AC157E">
        <w:rPr>
          <w:rFonts w:asciiTheme="majorHAnsi" w:hAnsiTheme="majorHAnsi"/>
          <w:u w:val="single"/>
          <w:lang w:val="lv-LV"/>
        </w:rPr>
        <w:t>politiskā neatkarība un informācijas dažādība</w:t>
      </w:r>
      <w:r w:rsidR="000A0367">
        <w:rPr>
          <w:rFonts w:asciiTheme="majorHAnsi" w:hAnsiTheme="majorHAnsi"/>
          <w:lang w:val="lv-LV"/>
        </w:rPr>
        <w:t xml:space="preserve"> sabiedriskajā medijā. Jo atklātāka politiskā ietekme, jo zemāku vietu pasaulē ieņem valsts žurnālistika. Tāpat, valdības un likumdevēja </w:t>
      </w:r>
      <w:r w:rsidR="000A0367" w:rsidRPr="00AC157E">
        <w:rPr>
          <w:rFonts w:asciiTheme="majorHAnsi" w:hAnsiTheme="majorHAnsi"/>
          <w:u w:val="single"/>
          <w:lang w:val="lv-LV"/>
        </w:rPr>
        <w:t>atklāta naida izrādīšana un vairošana pret sabiedrisko mediju</w:t>
      </w:r>
      <w:r w:rsidR="000A0367">
        <w:rPr>
          <w:rFonts w:asciiTheme="majorHAnsi" w:hAnsiTheme="majorHAnsi"/>
          <w:lang w:val="lv-LV"/>
        </w:rPr>
        <w:t xml:space="preserve"> ir viena no pieaugošām tendencēm, kas samazina demokrātijas kvalitāti. Turklāt, ekonomiskas valsts problēmas un nespēja uzturēt kvalitatīvu mediju darbu noved valsti pie sociāli nelabvēlīgām sekām un būtiski ietekmē medija </w:t>
      </w:r>
      <w:r w:rsidR="000A0367" w:rsidRPr="00B1157E">
        <w:rPr>
          <w:rFonts w:asciiTheme="majorHAnsi" w:hAnsiTheme="majorHAnsi"/>
          <w:u w:val="single"/>
          <w:lang w:val="lv-LV"/>
        </w:rPr>
        <w:t>redakcionālo brīvību</w:t>
      </w:r>
      <w:r w:rsidR="000A0367">
        <w:rPr>
          <w:rFonts w:asciiTheme="majorHAnsi" w:hAnsiTheme="majorHAnsi"/>
          <w:lang w:val="lv-LV"/>
        </w:rPr>
        <w:t xml:space="preserve"> (angļu – </w:t>
      </w:r>
      <w:r w:rsidR="000A0367" w:rsidRPr="000A0367">
        <w:rPr>
          <w:rFonts w:asciiTheme="majorHAnsi" w:hAnsiTheme="majorHAnsi"/>
          <w:i/>
          <w:iCs/>
          <w:lang w:val="lv-LV"/>
        </w:rPr>
        <w:t>editorial freedom</w:t>
      </w:r>
      <w:r w:rsidR="000A0367">
        <w:rPr>
          <w:rFonts w:asciiTheme="majorHAnsi" w:hAnsiTheme="majorHAnsi"/>
          <w:lang w:val="lv-LV"/>
        </w:rPr>
        <w:t>).</w:t>
      </w:r>
      <w:r w:rsidR="000A0367">
        <w:rPr>
          <w:rStyle w:val="FootnoteReference"/>
          <w:rFonts w:asciiTheme="majorHAnsi" w:hAnsiTheme="majorHAnsi"/>
          <w:lang w:val="lv-LV"/>
        </w:rPr>
        <w:footnoteReference w:id="36"/>
      </w:r>
      <w:r w:rsidR="000A0367">
        <w:rPr>
          <w:rFonts w:asciiTheme="majorHAnsi" w:hAnsiTheme="majorHAnsi"/>
          <w:lang w:val="lv-LV"/>
        </w:rPr>
        <w:t xml:space="preserve"> </w:t>
      </w:r>
      <w:r w:rsidR="00C74631">
        <w:rPr>
          <w:rFonts w:asciiTheme="majorHAnsi" w:hAnsiTheme="majorHAnsi"/>
          <w:lang w:val="lv-LV"/>
        </w:rPr>
        <w:t>2020.gadā</w:t>
      </w:r>
      <w:r w:rsidR="00EB06D0">
        <w:rPr>
          <w:rFonts w:asciiTheme="majorHAnsi" w:hAnsiTheme="majorHAnsi"/>
          <w:lang w:val="lv-LV"/>
        </w:rPr>
        <w:t xml:space="preserve"> vērtējuma apakšā ir tādas valstis kā Ziemeļkoreja, Ķīna, Vjetnama un Irāna, taču pašā augšgalā jau ilggadēji uzturas tādas valstis kā Norvēģija, Somija</w:t>
      </w:r>
      <w:r w:rsidR="00C74631">
        <w:rPr>
          <w:rFonts w:asciiTheme="majorHAnsi" w:hAnsiTheme="majorHAnsi"/>
          <w:lang w:val="lv-LV"/>
        </w:rPr>
        <w:t xml:space="preserve">, </w:t>
      </w:r>
      <w:r w:rsidR="00EB06D0">
        <w:rPr>
          <w:rFonts w:asciiTheme="majorHAnsi" w:hAnsiTheme="majorHAnsi"/>
          <w:lang w:val="lv-LV"/>
        </w:rPr>
        <w:t>Dānija</w:t>
      </w:r>
      <w:r w:rsidR="00C74631">
        <w:rPr>
          <w:rFonts w:asciiTheme="majorHAnsi" w:hAnsiTheme="majorHAnsi"/>
          <w:lang w:val="lv-LV"/>
        </w:rPr>
        <w:t xml:space="preserve"> un Zviedrija.</w:t>
      </w:r>
      <w:r w:rsidR="00EB06D0">
        <w:rPr>
          <w:rFonts w:asciiTheme="majorHAnsi" w:hAnsiTheme="majorHAnsi"/>
          <w:lang w:val="lv-LV"/>
        </w:rPr>
        <w:t xml:space="preserve"> </w:t>
      </w:r>
      <w:r w:rsidR="00C74631">
        <w:rPr>
          <w:rFonts w:asciiTheme="majorHAnsi" w:hAnsiTheme="majorHAnsi"/>
          <w:lang w:val="lv-LV"/>
        </w:rPr>
        <w:t xml:space="preserve">Latvija šajā vērtējumu tabulā atspoguļota 22.vietā, Igaunija 14., un Lietuva 28.vietā. </w:t>
      </w:r>
    </w:p>
    <w:p w14:paraId="6AB400FC" w14:textId="3C8437AE" w:rsidR="0081470F" w:rsidRPr="00D919E5" w:rsidRDefault="00005001" w:rsidP="00D919E5">
      <w:pPr>
        <w:pStyle w:val="BodyText"/>
        <w:numPr>
          <w:ilvl w:val="1"/>
          <w:numId w:val="29"/>
        </w:numPr>
        <w:spacing w:before="240" w:after="120"/>
        <w:ind w:left="788" w:hanging="431"/>
        <w:jc w:val="both"/>
        <w:rPr>
          <w:rFonts w:asciiTheme="majorHAnsi" w:hAnsiTheme="majorHAnsi"/>
          <w:b/>
          <w:bCs/>
          <w:lang w:val="lv-LV"/>
        </w:rPr>
      </w:pPr>
      <w:r w:rsidRPr="007C0D1A">
        <w:rPr>
          <w:rFonts w:asciiTheme="majorHAnsi" w:hAnsiTheme="majorHAnsi"/>
          <w:lang w:val="lv-LV"/>
        </w:rPr>
        <w:t xml:space="preserve">Tātad, reizē BTI un WPFI norāda uz </w:t>
      </w:r>
      <w:r w:rsidR="007C0D1A" w:rsidRPr="007C0D1A">
        <w:rPr>
          <w:rFonts w:asciiTheme="majorHAnsi" w:hAnsiTheme="majorHAnsi"/>
          <w:lang w:val="lv-LV"/>
        </w:rPr>
        <w:t xml:space="preserve">preses brīvības un neatkarības tiešu sasaisti ar medija ekonomisko nodrošinājumu, kas reizē sasaistīts ar politiskās neatkarības rādītāju. </w:t>
      </w:r>
      <w:r w:rsidR="009478AB">
        <w:rPr>
          <w:rFonts w:asciiTheme="majorHAnsi" w:hAnsiTheme="majorHAnsi"/>
          <w:lang w:val="lv-LV"/>
        </w:rPr>
        <w:t xml:space="preserve">Indeksi, </w:t>
      </w:r>
      <w:r w:rsidR="00F05A67">
        <w:rPr>
          <w:rFonts w:asciiTheme="majorHAnsi" w:hAnsiTheme="majorHAnsi"/>
          <w:lang w:val="lv-LV"/>
        </w:rPr>
        <w:t xml:space="preserve">atspoguļo zināmas tendences valsts attīstībā, taču tāpat nespēj parādīt ekonomiski trauslās vietas valsts </w:t>
      </w:r>
      <w:r w:rsidR="00F05A67">
        <w:rPr>
          <w:rFonts w:asciiTheme="majorHAnsi" w:hAnsiTheme="majorHAnsi"/>
          <w:lang w:val="lv-LV"/>
        </w:rPr>
        <w:lastRenderedPageBreak/>
        <w:t xml:space="preserve">finansējumu piešķiršanā. Proti, lai gan Latvija neierindojas rādītāju pēdējās vietās, tas tomēr nenozīmē, ka praktiski tai nav kādas problēmas attiecībā uz norādītajiem jautājumiem. </w:t>
      </w:r>
    </w:p>
    <w:p w14:paraId="644C4134" w14:textId="69B951E4" w:rsidR="005B23F5" w:rsidRPr="005B23F5" w:rsidRDefault="0074177B" w:rsidP="0081470F">
      <w:pPr>
        <w:pStyle w:val="BodyText"/>
        <w:numPr>
          <w:ilvl w:val="1"/>
          <w:numId w:val="29"/>
        </w:numPr>
        <w:spacing w:before="240" w:after="120"/>
        <w:ind w:left="788" w:hanging="431"/>
        <w:jc w:val="both"/>
        <w:rPr>
          <w:rFonts w:asciiTheme="majorHAnsi" w:hAnsiTheme="majorHAnsi"/>
          <w:b/>
          <w:bCs/>
          <w:lang w:val="lv-LV"/>
        </w:rPr>
      </w:pPr>
      <w:r>
        <w:rPr>
          <w:rFonts w:asciiTheme="majorHAnsi" w:hAnsiTheme="majorHAnsi"/>
          <w:lang w:val="lv-LV"/>
        </w:rPr>
        <w:t xml:space="preserve"> Jāņem vērā, ka Eiropas veiksmīgajās valstīs ir dažādi jaukti finansēšanas modeļu veidi, piemēram, </w:t>
      </w:r>
      <w:r w:rsidRPr="002D52C5">
        <w:rPr>
          <w:rFonts w:asciiTheme="majorHAnsi" w:hAnsiTheme="majorHAnsi"/>
          <w:b/>
          <w:bCs/>
          <w:lang w:val="lv-LV"/>
        </w:rPr>
        <w:t xml:space="preserve">Vācijā </w:t>
      </w:r>
      <w:r>
        <w:rPr>
          <w:rFonts w:asciiTheme="majorHAnsi" w:hAnsiTheme="majorHAnsi"/>
          <w:lang w:val="lv-LV"/>
        </w:rPr>
        <w:t xml:space="preserve">katrai mājsaimniecībai </w:t>
      </w:r>
      <w:r w:rsidR="00BE5904">
        <w:rPr>
          <w:rFonts w:asciiTheme="majorHAnsi" w:hAnsiTheme="majorHAnsi"/>
          <w:lang w:val="lv-LV"/>
        </w:rPr>
        <w:t xml:space="preserve">uz 1 mēnesi </w:t>
      </w:r>
      <w:r>
        <w:rPr>
          <w:rFonts w:asciiTheme="majorHAnsi" w:hAnsiTheme="majorHAnsi"/>
          <w:lang w:val="lv-LV"/>
        </w:rPr>
        <w:t xml:space="preserve">jāmaksā </w:t>
      </w:r>
      <w:r w:rsidRPr="008C31CC">
        <w:rPr>
          <w:rFonts w:asciiTheme="majorHAnsi" w:hAnsiTheme="majorHAnsi"/>
          <w:b/>
          <w:bCs/>
          <w:lang w:val="lv-LV"/>
        </w:rPr>
        <w:t>medija nodoklis</w:t>
      </w:r>
      <w:r>
        <w:rPr>
          <w:rFonts w:asciiTheme="majorHAnsi" w:hAnsiTheme="majorHAnsi"/>
          <w:lang w:val="lv-LV"/>
        </w:rPr>
        <w:t xml:space="preserve"> (angļu ‘’</w:t>
      </w:r>
      <w:r w:rsidRPr="00B20BBC">
        <w:rPr>
          <w:rFonts w:asciiTheme="majorHAnsi" w:hAnsiTheme="majorHAnsi"/>
          <w:i/>
          <w:iCs/>
          <w:lang w:val="lv-LV"/>
        </w:rPr>
        <w:t>media</w:t>
      </w:r>
      <w:r>
        <w:rPr>
          <w:rFonts w:asciiTheme="majorHAnsi" w:hAnsiTheme="majorHAnsi"/>
          <w:lang w:val="lv-LV"/>
        </w:rPr>
        <w:t xml:space="preserve"> </w:t>
      </w:r>
      <w:r w:rsidRPr="00B20BBC">
        <w:rPr>
          <w:rFonts w:asciiTheme="majorHAnsi" w:hAnsiTheme="majorHAnsi"/>
          <w:i/>
          <w:iCs/>
          <w:lang w:val="lv-LV"/>
        </w:rPr>
        <w:t>tax</w:t>
      </w:r>
      <w:r>
        <w:rPr>
          <w:rFonts w:asciiTheme="majorHAnsi" w:hAnsiTheme="majorHAnsi"/>
          <w:lang w:val="lv-LV"/>
        </w:rPr>
        <w:t>’’) 17 eur apmērā.</w:t>
      </w:r>
      <w:r w:rsidR="0098742E">
        <w:rPr>
          <w:rStyle w:val="FootnoteReference"/>
          <w:rFonts w:asciiTheme="majorHAnsi" w:hAnsiTheme="majorHAnsi"/>
          <w:lang w:val="lv-LV"/>
        </w:rPr>
        <w:footnoteReference w:id="37"/>
      </w:r>
      <w:r>
        <w:rPr>
          <w:rFonts w:asciiTheme="majorHAnsi" w:hAnsiTheme="majorHAnsi"/>
          <w:lang w:val="lv-LV"/>
        </w:rPr>
        <w:t xml:space="preserve"> </w:t>
      </w:r>
      <w:r w:rsidR="00B20BBC">
        <w:rPr>
          <w:rFonts w:asciiTheme="majorHAnsi" w:hAnsiTheme="majorHAnsi"/>
          <w:lang w:val="lv-LV"/>
        </w:rPr>
        <w:t xml:space="preserve">Šis maksājums tiek saukts arī par </w:t>
      </w:r>
      <w:r w:rsidR="00B20BBC" w:rsidRPr="008C31CC">
        <w:rPr>
          <w:rFonts w:asciiTheme="majorHAnsi" w:hAnsiTheme="majorHAnsi"/>
          <w:b/>
          <w:bCs/>
          <w:lang w:val="lv-LV"/>
        </w:rPr>
        <w:t>licencēšanas maksu</w:t>
      </w:r>
      <w:r w:rsidR="00B20BBC">
        <w:rPr>
          <w:rFonts w:asciiTheme="majorHAnsi" w:hAnsiTheme="majorHAnsi"/>
          <w:lang w:val="lv-LV"/>
        </w:rPr>
        <w:t xml:space="preserve"> jeb ‘’</w:t>
      </w:r>
      <w:r w:rsidR="00B20BBC" w:rsidRPr="00B20BBC">
        <w:rPr>
          <w:rFonts w:asciiTheme="majorHAnsi" w:hAnsiTheme="majorHAnsi"/>
          <w:i/>
          <w:iCs/>
          <w:lang w:val="lv-LV"/>
        </w:rPr>
        <w:t>Licence</w:t>
      </w:r>
      <w:r w:rsidR="00B20BBC">
        <w:rPr>
          <w:rFonts w:asciiTheme="majorHAnsi" w:hAnsiTheme="majorHAnsi"/>
          <w:lang w:val="lv-LV"/>
        </w:rPr>
        <w:t xml:space="preserve"> </w:t>
      </w:r>
      <w:r w:rsidR="00B20BBC" w:rsidRPr="00B20BBC">
        <w:rPr>
          <w:rFonts w:asciiTheme="majorHAnsi" w:hAnsiTheme="majorHAnsi"/>
          <w:i/>
          <w:iCs/>
          <w:lang w:val="lv-LV"/>
        </w:rPr>
        <w:t>fee</w:t>
      </w:r>
      <w:r w:rsidR="00B20BBC">
        <w:rPr>
          <w:rFonts w:asciiTheme="majorHAnsi" w:hAnsiTheme="majorHAnsi"/>
          <w:lang w:val="lv-LV"/>
        </w:rPr>
        <w:t xml:space="preserve">’’, kas jāmaksā neatkarīgi no medija </w:t>
      </w:r>
      <w:r w:rsidR="008C31CC">
        <w:rPr>
          <w:rFonts w:asciiTheme="majorHAnsi" w:hAnsiTheme="majorHAnsi"/>
          <w:lang w:val="lv-LV"/>
        </w:rPr>
        <w:t xml:space="preserve">lietošanas </w:t>
      </w:r>
      <w:r w:rsidR="00B20BBC">
        <w:rPr>
          <w:rFonts w:asciiTheme="majorHAnsi" w:hAnsiTheme="majorHAnsi"/>
          <w:lang w:val="lv-LV"/>
        </w:rPr>
        <w:t>apjoma un ierīču skaita, kādu izmanto konkrētā mājsaimniecība.</w:t>
      </w:r>
      <w:r w:rsidR="00BE5904">
        <w:rPr>
          <w:rFonts w:asciiTheme="majorHAnsi" w:hAnsiTheme="majorHAnsi"/>
          <w:lang w:val="lv-LV"/>
        </w:rPr>
        <w:t xml:space="preserve"> Maksas biežumu var izvēlēties – mājsaimniecība to var maksāt ik pa trim mēnešiem, divreiz gadā vai vienreiz gadā.</w:t>
      </w:r>
      <w:r w:rsidR="00BE5904">
        <w:rPr>
          <w:rStyle w:val="FootnoteReference"/>
          <w:rFonts w:asciiTheme="majorHAnsi" w:hAnsiTheme="majorHAnsi"/>
          <w:lang w:val="lv-LV"/>
        </w:rPr>
        <w:footnoteReference w:id="38"/>
      </w:r>
      <w:r w:rsidR="00B20BBC">
        <w:rPr>
          <w:rFonts w:asciiTheme="majorHAnsi" w:hAnsiTheme="majorHAnsi"/>
          <w:lang w:val="lv-LV"/>
        </w:rPr>
        <w:t xml:space="preserve"> Vācijas Konstitucionālā tiesa šajā sakarā atzinusi, ka ir saprātīgi pieļaujams, ka mājsaimniecība lielākā vai mazākā mērā izmanto sabiedrisko mediju. Taču šiem maksājumiem ir izņēmumi, piemēram, personām ar smagu invaliditāti, vai kurlmēmiem cilvēkiem nav šis nodoklis jāmaksā, un uz tā atvieglošanu var pieteikties arī citas sociāli maznodrošinātas personas. </w:t>
      </w:r>
      <w:r w:rsidR="00B20BBC">
        <w:rPr>
          <w:rStyle w:val="FootnoteReference"/>
          <w:rFonts w:asciiTheme="majorHAnsi" w:hAnsiTheme="majorHAnsi"/>
          <w:lang w:val="lv-LV"/>
        </w:rPr>
        <w:footnoteReference w:id="39"/>
      </w:r>
      <w:r w:rsidR="00B20BBC">
        <w:rPr>
          <w:rFonts w:asciiTheme="majorHAnsi" w:hAnsiTheme="majorHAnsi"/>
          <w:lang w:val="lv-LV"/>
        </w:rPr>
        <w:t xml:space="preserve"> </w:t>
      </w:r>
    </w:p>
    <w:p w14:paraId="59C4734F" w14:textId="5B5CAE5F" w:rsidR="0074177B" w:rsidRPr="00DF14C6" w:rsidRDefault="004C2AE0" w:rsidP="0081470F">
      <w:pPr>
        <w:pStyle w:val="BodyText"/>
        <w:numPr>
          <w:ilvl w:val="1"/>
          <w:numId w:val="29"/>
        </w:numPr>
        <w:spacing w:before="240" w:after="120"/>
        <w:ind w:left="788" w:hanging="431"/>
        <w:jc w:val="both"/>
        <w:rPr>
          <w:rFonts w:asciiTheme="majorHAnsi" w:hAnsiTheme="majorHAnsi"/>
          <w:b/>
          <w:bCs/>
          <w:lang w:val="lv-LV"/>
        </w:rPr>
      </w:pPr>
      <w:r>
        <w:rPr>
          <w:rFonts w:asciiTheme="majorHAnsi" w:hAnsiTheme="majorHAnsi"/>
          <w:lang w:val="lv-LV"/>
        </w:rPr>
        <w:t xml:space="preserve">Līdzīgi ir </w:t>
      </w:r>
      <w:r w:rsidRPr="00CF79D8">
        <w:rPr>
          <w:rFonts w:asciiTheme="majorHAnsi" w:hAnsiTheme="majorHAnsi"/>
          <w:b/>
          <w:bCs/>
          <w:lang w:val="lv-LV"/>
        </w:rPr>
        <w:t>Norvēģijā</w:t>
      </w:r>
      <w:r>
        <w:rPr>
          <w:rFonts w:asciiTheme="majorHAnsi" w:hAnsiTheme="majorHAnsi"/>
          <w:lang w:val="lv-LV"/>
        </w:rPr>
        <w:t xml:space="preserve">, kas atzīta par vienu no visneatkarīgākajām žurnālistikas valstīm. Norvēģu sabiedriskais medijs absolūti lielāko budžeta daļu sedz ar nodokļa maksas palīdzību, bet pārējā daļa tiek iegūta ar reklāmas tirgus palīdzību, kā arī DVD, un produktu ražošanu, kā arī sponsoru palīdzību. Nodoklis jāmaksā katrai personai, kas maksā ienākumu nodokli. </w:t>
      </w:r>
      <w:r w:rsidR="00DF14C6">
        <w:rPr>
          <w:rFonts w:asciiTheme="majorHAnsi" w:hAnsiTheme="majorHAnsi"/>
          <w:lang w:val="lv-LV"/>
        </w:rPr>
        <w:t>Arī Zviedrijā, kas ilggadēji ierindojusies neatkarīgāko žurnālistikas valstu top augšgalā, sabiedrisko mediju galvenokārt finansē no sabiedriskā pakalpojuma nodokļa likmes, kas ir 1% apmērs no katras pilngadīgās personas ar nodokli apliekamo ienākumu summas. Nodokļa apmēram ir izņēmumi, piemēram mājsaimniecībās ar bērniem, kur ir tikai viens vecāks vai viens pieaugušais, maksa krasi samazinās. Tāpat iekasēšanas sistēma veidota tā, lai valdībām mainoties, vēlēšanu gadā tā nevarētu pieņemt medijiem nelabvēlīgus finansiālus lēmumus.</w:t>
      </w:r>
      <w:r w:rsidR="00DF14C6">
        <w:rPr>
          <w:rStyle w:val="FootnoteReference"/>
          <w:rFonts w:asciiTheme="majorHAnsi" w:hAnsiTheme="majorHAnsi"/>
          <w:lang w:val="lv-LV"/>
        </w:rPr>
        <w:footnoteReference w:id="40"/>
      </w:r>
      <w:r w:rsidR="004733FB">
        <w:rPr>
          <w:rFonts w:asciiTheme="majorHAnsi" w:hAnsiTheme="majorHAnsi"/>
          <w:lang w:val="lv-LV"/>
        </w:rPr>
        <w:t xml:space="preserve"> </w:t>
      </w:r>
    </w:p>
    <w:p w14:paraId="74E4522B" w14:textId="561BE412" w:rsidR="00DF14C6" w:rsidRPr="00A2091A" w:rsidRDefault="009B3CF8" w:rsidP="0081470F">
      <w:pPr>
        <w:pStyle w:val="BodyText"/>
        <w:numPr>
          <w:ilvl w:val="1"/>
          <w:numId w:val="29"/>
        </w:numPr>
        <w:spacing w:before="240" w:after="120"/>
        <w:ind w:left="788" w:hanging="431"/>
        <w:jc w:val="both"/>
        <w:rPr>
          <w:rFonts w:asciiTheme="majorHAnsi" w:hAnsiTheme="majorHAnsi"/>
          <w:lang w:val="lv-LV"/>
        </w:rPr>
      </w:pPr>
      <w:r>
        <w:rPr>
          <w:rFonts w:asciiTheme="majorHAnsi" w:hAnsiTheme="majorHAnsi"/>
          <w:lang w:val="lv-LV"/>
        </w:rPr>
        <w:t xml:space="preserve"> </w:t>
      </w:r>
      <w:r w:rsidR="00DF14C6" w:rsidRPr="00A2091A">
        <w:rPr>
          <w:rFonts w:asciiTheme="majorHAnsi" w:hAnsiTheme="majorHAnsi"/>
          <w:lang w:val="lv-LV"/>
        </w:rPr>
        <w:t xml:space="preserve">Līdzīgi, arī </w:t>
      </w:r>
      <w:r w:rsidR="00DF14C6" w:rsidRPr="00CF79D8">
        <w:rPr>
          <w:rFonts w:asciiTheme="majorHAnsi" w:hAnsiTheme="majorHAnsi"/>
          <w:b/>
          <w:bCs/>
          <w:lang w:val="lv-LV"/>
        </w:rPr>
        <w:t>Somijā</w:t>
      </w:r>
      <w:r w:rsidR="00DF14C6" w:rsidRPr="00A2091A">
        <w:rPr>
          <w:rFonts w:asciiTheme="majorHAnsi" w:hAnsiTheme="majorHAnsi"/>
          <w:lang w:val="lv-LV"/>
        </w:rPr>
        <w:t xml:space="preserve">, kas ilggadīgi atrodas neatkarīgāko žurnālistikas valstu top augšgalā, sabiedrisko mediju finansē ar nodokļa palīdzību. </w:t>
      </w:r>
      <w:r w:rsidR="00483213" w:rsidRPr="00A2091A">
        <w:rPr>
          <w:rFonts w:asciiTheme="majorHAnsi" w:hAnsiTheme="majorHAnsi"/>
          <w:lang w:val="lv-LV"/>
        </w:rPr>
        <w:t>Nodokļa apmērs ir 2,5% no personas ar nodokli apliekamajiem ienākumiem gadā, taču ir limitēts līdz 163 euro gadā. Šo nodokli maksā arī juridiskas personas, bet tas nav piemērojams nepilngadīgām personām un sociāli maznodrošinātām personām ar zemiem ienākumiem. Somijas likums nosaka, ka šī nodokļu likme ir pārskatāma, ņemot vērā dzīvošanas izdevumu maiņu valstī un netiek ieskaitīts valsts budžetā, lai nodrošinātu tā norobežošanu no valsts interesēm.</w:t>
      </w:r>
      <w:r w:rsidR="00483213" w:rsidRPr="00A2091A">
        <w:rPr>
          <w:rStyle w:val="FootnoteReference"/>
          <w:rFonts w:asciiTheme="majorHAnsi" w:hAnsiTheme="majorHAnsi"/>
          <w:lang w:val="lv-LV"/>
        </w:rPr>
        <w:footnoteReference w:id="41"/>
      </w:r>
    </w:p>
    <w:p w14:paraId="60773AB7" w14:textId="676E9DAA" w:rsidR="0081470F" w:rsidRPr="009B3CF8" w:rsidRDefault="00AF311F" w:rsidP="00D40EE5">
      <w:pPr>
        <w:pStyle w:val="BodyText"/>
        <w:numPr>
          <w:ilvl w:val="1"/>
          <w:numId w:val="29"/>
        </w:numPr>
        <w:spacing w:before="240" w:after="120"/>
        <w:ind w:left="788" w:hanging="431"/>
        <w:jc w:val="both"/>
        <w:rPr>
          <w:rFonts w:asciiTheme="majorHAnsi" w:hAnsiTheme="majorHAnsi"/>
          <w:b/>
          <w:bCs/>
          <w:lang w:val="lv-LV"/>
        </w:rPr>
      </w:pPr>
      <w:r>
        <w:rPr>
          <w:rFonts w:asciiTheme="majorHAnsi" w:hAnsiTheme="majorHAnsi"/>
          <w:b/>
          <w:bCs/>
          <w:lang w:val="lv-LV"/>
        </w:rPr>
        <w:t xml:space="preserve"> </w:t>
      </w:r>
      <w:r>
        <w:rPr>
          <w:rFonts w:asciiTheme="majorHAnsi" w:hAnsiTheme="majorHAnsi"/>
          <w:lang w:val="lv-LV"/>
        </w:rPr>
        <w:t xml:space="preserve">Latvijas situācijā, mūsu ieskatā, sabiedriskā medija finansēšana, veiksmīgāk nekā pašlaik, iespējama gan ar valsts piešķirtām dotācijām, gan ar sabiedrības tiešu līdzdalību, reizē sabiedrisko mediju ‘’izvedot’’ no reklāmas tirgus. Tajā pat laikā, labs piemērs ir kaimiņvalsts Lietuva, kas parāda, ka arī institūcijai, kas ienākumus sadala sabiedriskā medija ‘’iekšienē’’, ir jābūt pilnīgi politiski neatkarīgai no valsts. </w:t>
      </w:r>
      <w:r w:rsidR="00EE6CA5">
        <w:rPr>
          <w:rFonts w:asciiTheme="majorHAnsi" w:hAnsiTheme="majorHAnsi"/>
          <w:lang w:val="lv-LV"/>
        </w:rPr>
        <w:t xml:space="preserve">Mūsu ieskatā, Latvijai jāņem piemērs no </w:t>
      </w:r>
      <w:r w:rsidR="00BF38FF">
        <w:rPr>
          <w:rFonts w:asciiTheme="majorHAnsi" w:hAnsiTheme="majorHAnsi"/>
          <w:lang w:val="lv-LV"/>
        </w:rPr>
        <w:t xml:space="preserve">mūsu norādītajiem labākajiem ārvalstu piemēriem, kur praktiski šīs sistēmas palīdz mediju darbībai. Iespējams, arī šajās sistēmās ir kādas nepilnības, taču no finanšu modeļa izvēles </w:t>
      </w:r>
      <w:r w:rsidR="005528EC">
        <w:rPr>
          <w:rFonts w:asciiTheme="majorHAnsi" w:hAnsiTheme="majorHAnsi"/>
          <w:lang w:val="lv-LV"/>
        </w:rPr>
        <w:t xml:space="preserve">jautājuma aspekta, mūsu ieskatā </w:t>
      </w:r>
      <w:r w:rsidR="002D1450">
        <w:rPr>
          <w:rFonts w:asciiTheme="majorHAnsi" w:hAnsiTheme="majorHAnsi"/>
          <w:lang w:val="lv-LV"/>
        </w:rPr>
        <w:t xml:space="preserve">Lietuvas piemērs, kā arī citu valstu piemēri ir </w:t>
      </w:r>
      <w:r w:rsidR="00093FA9">
        <w:rPr>
          <w:rFonts w:asciiTheme="majorHAnsi" w:hAnsiTheme="majorHAnsi"/>
          <w:lang w:val="lv-LV"/>
        </w:rPr>
        <w:t xml:space="preserve">piemēroti arī Latvijas sistēmai. </w:t>
      </w:r>
    </w:p>
    <w:p w14:paraId="19A37C5E" w14:textId="26B54491" w:rsidR="009B3CF8" w:rsidRPr="002D1450" w:rsidRDefault="009B3CF8" w:rsidP="00D40EE5">
      <w:pPr>
        <w:pStyle w:val="BodyText"/>
        <w:numPr>
          <w:ilvl w:val="1"/>
          <w:numId w:val="29"/>
        </w:numPr>
        <w:spacing w:before="240" w:after="120"/>
        <w:ind w:left="788" w:hanging="431"/>
        <w:jc w:val="both"/>
        <w:rPr>
          <w:rFonts w:asciiTheme="majorHAnsi" w:hAnsiTheme="majorHAnsi"/>
          <w:b/>
          <w:bCs/>
          <w:lang w:val="lv-LV"/>
        </w:rPr>
      </w:pPr>
      <w:r>
        <w:rPr>
          <w:rFonts w:asciiTheme="majorHAnsi" w:hAnsiTheme="majorHAnsi"/>
          <w:lang w:val="lv-LV"/>
        </w:rPr>
        <w:t xml:space="preserve"> Uzmanību vēršam uz vēl vienu, jaunu mediju finansēšanas veidu – </w:t>
      </w:r>
      <w:r w:rsidRPr="00EC3CD8">
        <w:rPr>
          <w:rFonts w:asciiTheme="majorHAnsi" w:hAnsiTheme="majorHAnsi"/>
          <w:b/>
          <w:bCs/>
          <w:lang w:val="lv-LV"/>
        </w:rPr>
        <w:t>Digitālā pakalpojuma nodokli</w:t>
      </w:r>
      <w:r w:rsidR="00326E3E">
        <w:rPr>
          <w:rFonts w:asciiTheme="majorHAnsi" w:hAnsiTheme="majorHAnsi"/>
          <w:lang w:val="lv-LV"/>
        </w:rPr>
        <w:t xml:space="preserve"> (‘’</w:t>
      </w:r>
      <w:r w:rsidR="00326E3E" w:rsidRPr="00326E3E">
        <w:rPr>
          <w:rFonts w:asciiTheme="majorHAnsi" w:hAnsiTheme="majorHAnsi"/>
          <w:b/>
          <w:bCs/>
          <w:lang w:val="lv-LV"/>
        </w:rPr>
        <w:t>DPN</w:t>
      </w:r>
      <w:r w:rsidR="00326E3E">
        <w:rPr>
          <w:rFonts w:asciiTheme="majorHAnsi" w:hAnsiTheme="majorHAnsi"/>
          <w:lang w:val="lv-LV"/>
        </w:rPr>
        <w:t>’’).</w:t>
      </w:r>
      <w:r>
        <w:rPr>
          <w:rFonts w:asciiTheme="majorHAnsi" w:hAnsiTheme="majorHAnsi"/>
          <w:lang w:val="lv-LV"/>
        </w:rPr>
        <w:t xml:space="preserve"> </w:t>
      </w:r>
      <w:r w:rsidR="00326E3E">
        <w:rPr>
          <w:rFonts w:asciiTheme="majorHAnsi" w:hAnsiTheme="majorHAnsi"/>
          <w:lang w:val="lv-LV"/>
        </w:rPr>
        <w:t>Tā ieviešana ES līmenī ir ļoti aktuāla un apspriesta</w:t>
      </w:r>
      <w:r w:rsidR="00155925">
        <w:rPr>
          <w:rFonts w:asciiTheme="majorHAnsi" w:hAnsiTheme="majorHAnsi"/>
          <w:lang w:val="lv-LV"/>
        </w:rPr>
        <w:t>, kopīgu regulējumu nav izdevies ieviest dēļ OECD valstu starpā notikušaj</w:t>
      </w:r>
      <w:r w:rsidR="00581C35">
        <w:rPr>
          <w:rFonts w:asciiTheme="majorHAnsi" w:hAnsiTheme="majorHAnsi"/>
          <w:lang w:val="lv-LV"/>
        </w:rPr>
        <w:t xml:space="preserve">ām diskusijām. </w:t>
      </w:r>
      <w:r w:rsidR="00B5488F">
        <w:rPr>
          <w:rFonts w:asciiTheme="majorHAnsi" w:hAnsiTheme="majorHAnsi"/>
          <w:lang w:val="lv-LV"/>
        </w:rPr>
        <w:t>Tomēr, digitālo nodokli ir paredzēts ieviest ES līmenī tuvākajā laikā.</w:t>
      </w:r>
      <w:r w:rsidR="00B5488F">
        <w:rPr>
          <w:rStyle w:val="FootnoteReference"/>
          <w:rFonts w:asciiTheme="majorHAnsi" w:hAnsiTheme="majorHAnsi"/>
          <w:lang w:val="lv-LV"/>
        </w:rPr>
        <w:footnoteReference w:id="42"/>
      </w:r>
      <w:r w:rsidR="006B590E">
        <w:rPr>
          <w:rFonts w:asciiTheme="majorHAnsi" w:hAnsiTheme="majorHAnsi"/>
          <w:lang w:val="lv-LV"/>
        </w:rPr>
        <w:t xml:space="preserve"> </w:t>
      </w:r>
      <w:r w:rsidR="006F569A">
        <w:rPr>
          <w:rFonts w:asciiTheme="majorHAnsi" w:hAnsiTheme="majorHAnsi"/>
          <w:lang w:val="lv-LV"/>
        </w:rPr>
        <w:t>Par DPN ieviešanu tieši Latvijas tiesiskajā sistēmā veikts detalizēts pētījums</w:t>
      </w:r>
      <w:r w:rsidR="006F569A">
        <w:rPr>
          <w:rStyle w:val="FootnoteReference"/>
          <w:rFonts w:asciiTheme="majorHAnsi" w:hAnsiTheme="majorHAnsi"/>
          <w:lang w:val="lv-LV"/>
        </w:rPr>
        <w:footnoteReference w:id="43"/>
      </w:r>
      <w:r w:rsidR="006F569A">
        <w:rPr>
          <w:rFonts w:asciiTheme="majorHAnsi" w:hAnsiTheme="majorHAnsi"/>
          <w:lang w:val="lv-LV"/>
        </w:rPr>
        <w:t xml:space="preserve">, </w:t>
      </w:r>
      <w:r w:rsidR="00C22C26">
        <w:rPr>
          <w:rFonts w:asciiTheme="majorHAnsi" w:hAnsiTheme="majorHAnsi"/>
          <w:lang w:val="lv-LV"/>
        </w:rPr>
        <w:t xml:space="preserve">kurā pēc būtības arī pieļaujams, ka Latvijā DPN varētu būt apmēram 3% no kopējiem gada ar ienākuma nodokli apliekamajiem ieņēmumiem Latvijā GAFA uzņēmumiem. </w:t>
      </w:r>
      <w:r w:rsidR="00C22C26" w:rsidRPr="00C22C26">
        <w:rPr>
          <w:rFonts w:asciiTheme="majorHAnsi" w:hAnsiTheme="majorHAnsi"/>
          <w:b/>
          <w:bCs/>
          <w:lang w:val="lv-LV"/>
        </w:rPr>
        <w:t>GAFA</w:t>
      </w:r>
      <w:r w:rsidR="00C22C26">
        <w:rPr>
          <w:rFonts w:asciiTheme="majorHAnsi" w:hAnsiTheme="majorHAnsi"/>
          <w:lang w:val="lv-LV"/>
        </w:rPr>
        <w:t xml:space="preserve"> saīsināti nozīmē </w:t>
      </w:r>
      <w:r w:rsidR="00C22C26" w:rsidRPr="00C22C26">
        <w:rPr>
          <w:rFonts w:asciiTheme="majorHAnsi" w:hAnsiTheme="majorHAnsi"/>
          <w:b/>
          <w:bCs/>
          <w:lang w:val="lv-LV"/>
        </w:rPr>
        <w:t>G</w:t>
      </w:r>
      <w:r w:rsidR="00C22C26">
        <w:rPr>
          <w:rFonts w:asciiTheme="majorHAnsi" w:hAnsiTheme="majorHAnsi"/>
          <w:lang w:val="lv-LV"/>
        </w:rPr>
        <w:t xml:space="preserve">oogle, </w:t>
      </w:r>
      <w:r w:rsidR="00C22C26" w:rsidRPr="00C22C26">
        <w:rPr>
          <w:rFonts w:asciiTheme="majorHAnsi" w:hAnsiTheme="majorHAnsi"/>
          <w:b/>
          <w:bCs/>
          <w:lang w:val="lv-LV"/>
        </w:rPr>
        <w:lastRenderedPageBreak/>
        <w:t>A</w:t>
      </w:r>
      <w:r w:rsidR="00C22C26">
        <w:rPr>
          <w:rFonts w:asciiTheme="majorHAnsi" w:hAnsiTheme="majorHAnsi"/>
          <w:lang w:val="lv-LV"/>
        </w:rPr>
        <w:t xml:space="preserve">pple, </w:t>
      </w:r>
      <w:r w:rsidR="00C22C26" w:rsidRPr="00C22C26">
        <w:rPr>
          <w:rFonts w:asciiTheme="majorHAnsi" w:hAnsiTheme="majorHAnsi"/>
          <w:b/>
          <w:bCs/>
          <w:lang w:val="lv-LV"/>
        </w:rPr>
        <w:t>F</w:t>
      </w:r>
      <w:r w:rsidR="00C22C26">
        <w:rPr>
          <w:rFonts w:asciiTheme="majorHAnsi" w:hAnsiTheme="majorHAnsi"/>
          <w:lang w:val="lv-LV"/>
        </w:rPr>
        <w:t xml:space="preserve">acebook un </w:t>
      </w:r>
      <w:r w:rsidR="00C22C26" w:rsidRPr="00C22C26">
        <w:rPr>
          <w:rFonts w:asciiTheme="majorHAnsi" w:hAnsiTheme="majorHAnsi"/>
          <w:b/>
          <w:bCs/>
          <w:lang w:val="lv-LV"/>
        </w:rPr>
        <w:t>A</w:t>
      </w:r>
      <w:r w:rsidR="00C22C26">
        <w:rPr>
          <w:rFonts w:asciiTheme="majorHAnsi" w:hAnsiTheme="majorHAnsi"/>
          <w:lang w:val="lv-LV"/>
        </w:rPr>
        <w:t xml:space="preserve">mazon, kuriem ir vislielākā ietekme uz ES dalībvalstu digitālo tirgu. </w:t>
      </w:r>
      <w:r w:rsidR="00EC3CD8">
        <w:rPr>
          <w:rFonts w:asciiTheme="majorHAnsi" w:hAnsiTheme="majorHAnsi"/>
          <w:lang w:val="lv-LV"/>
        </w:rPr>
        <w:t xml:space="preserve">Sīkāk analizējot pētījumu, kā arī paraugmateriālu DPN ieviešanai, secināms, ka šis nodoklis piemērojams visām sabiedrībām, kam ir ‘’būtiska klātbūtne’’ dalībvalsts digitālajā tirgū. Droši var teikt, ka gandrīz pilnīgi visās ES dalībvalstīs GAFA uzņēmumi atbilst kritērijam ‘’būtiska klātbūtne’’, tādēļ pierasts šīs valstis vienmēr piesaukt, runājot par šo nodokli. </w:t>
      </w:r>
      <w:r w:rsidR="00D539AB">
        <w:rPr>
          <w:rFonts w:asciiTheme="majorHAnsi" w:hAnsiTheme="majorHAnsi"/>
          <w:lang w:val="lv-LV"/>
        </w:rPr>
        <w:t xml:space="preserve">Tādējādi, </w:t>
      </w:r>
      <w:r w:rsidR="00F5634A">
        <w:rPr>
          <w:rFonts w:asciiTheme="majorHAnsi" w:hAnsiTheme="majorHAnsi"/>
          <w:lang w:val="lv-LV"/>
        </w:rPr>
        <w:t xml:space="preserve">pēc būtības, DPN tiek iekasēts no uzņēmumiem, kas darbojas dalībvalsts digitālajā tirgū. </w:t>
      </w:r>
      <w:r w:rsidR="00B33D40">
        <w:rPr>
          <w:rFonts w:asciiTheme="majorHAnsi" w:hAnsiTheme="majorHAnsi"/>
          <w:lang w:val="lv-LV"/>
        </w:rPr>
        <w:t xml:space="preserve">Latvijā pašlaik ieviešanas gaitu organizē Kultūras ministrija. DPN ieņēmumi veicami ar mērķi atbalstīt nacionālā medija finansējumu un neatkarību. DPN reizē uzlabotu medija stāvokli reklāmas tirgū, kur GAFA līdz šim ir bijusi ‘’dominējošā stāvoklī’’. </w:t>
      </w:r>
      <w:r w:rsidR="00B33D40" w:rsidRPr="00ED2F48">
        <w:rPr>
          <w:rFonts w:asciiTheme="majorHAnsi" w:hAnsiTheme="majorHAnsi"/>
          <w:b/>
          <w:bCs/>
          <w:lang w:val="lv-LV"/>
        </w:rPr>
        <w:t>Francija</w:t>
      </w:r>
      <w:r w:rsidR="00B33D40">
        <w:rPr>
          <w:rFonts w:asciiTheme="majorHAnsi" w:hAnsiTheme="majorHAnsi"/>
          <w:lang w:val="lv-LV"/>
        </w:rPr>
        <w:t xml:space="preserve"> ir pionieris DPN ieviešanā, un jau ir noteikusi 3% nodokli</w:t>
      </w:r>
      <w:r w:rsidR="00ED2F48">
        <w:rPr>
          <w:rFonts w:asciiTheme="majorHAnsi" w:hAnsiTheme="majorHAnsi"/>
          <w:lang w:val="lv-LV"/>
        </w:rPr>
        <w:t xml:space="preserve"> šiem uzņēmumiem</w:t>
      </w:r>
      <w:r w:rsidR="00B33D40">
        <w:rPr>
          <w:rFonts w:asciiTheme="majorHAnsi" w:hAnsiTheme="majorHAnsi"/>
          <w:lang w:val="lv-LV"/>
        </w:rPr>
        <w:t xml:space="preserve"> – 2019.gadā no DPN tā iekasēja 400 miljonus euro. </w:t>
      </w:r>
      <w:r w:rsidR="00472002">
        <w:rPr>
          <w:rFonts w:asciiTheme="majorHAnsi" w:hAnsiTheme="majorHAnsi"/>
          <w:lang w:val="lv-LV"/>
        </w:rPr>
        <w:t xml:space="preserve">Asas diskusijas izrietējušas saistībā ar iespējamām ASV sankcijām pret Franciju, ja pie prezidenta maiņas ASV tā nepazeminās DPN. </w:t>
      </w:r>
    </w:p>
    <w:p w14:paraId="7DFD02E7" w14:textId="77777777" w:rsidR="0081470F" w:rsidRPr="00D40EE5" w:rsidRDefault="0081470F" w:rsidP="00D40EE5">
      <w:pPr>
        <w:pStyle w:val="BodyText"/>
        <w:spacing w:before="240" w:after="120"/>
        <w:jc w:val="both"/>
        <w:rPr>
          <w:rFonts w:asciiTheme="majorHAnsi" w:hAnsiTheme="majorHAnsi"/>
          <w:b/>
          <w:bCs/>
          <w:lang w:val="lv-LV"/>
        </w:rPr>
      </w:pPr>
    </w:p>
    <w:p w14:paraId="5AC15337" w14:textId="573FACFD" w:rsidR="0069748F" w:rsidRPr="00257EFB" w:rsidRDefault="005F769C" w:rsidP="009B3CF8">
      <w:pPr>
        <w:pStyle w:val="BodyText"/>
        <w:numPr>
          <w:ilvl w:val="0"/>
          <w:numId w:val="29"/>
        </w:numPr>
        <w:spacing w:before="240"/>
        <w:ind w:left="357" w:hanging="357"/>
        <w:jc w:val="center"/>
        <w:rPr>
          <w:rFonts w:asciiTheme="majorHAnsi" w:hAnsiTheme="majorHAnsi"/>
          <w:i/>
          <w:color w:val="E0301E" w:themeColor="accent4"/>
          <w:sz w:val="32"/>
          <w:szCs w:val="32"/>
          <w:lang w:val="lv-LV"/>
        </w:rPr>
      </w:pPr>
      <w:r>
        <w:rPr>
          <w:rFonts w:asciiTheme="majorHAnsi" w:hAnsiTheme="majorHAnsi"/>
          <w:i/>
          <w:color w:val="E0301E" w:themeColor="accent4"/>
          <w:sz w:val="32"/>
          <w:szCs w:val="32"/>
          <w:lang w:val="lv-LV"/>
        </w:rPr>
        <w:t xml:space="preserve">Apkopojums. </w:t>
      </w:r>
      <w:r w:rsidR="00D740BC">
        <w:rPr>
          <w:rFonts w:asciiTheme="majorHAnsi" w:hAnsiTheme="majorHAnsi"/>
          <w:i/>
          <w:color w:val="E0301E" w:themeColor="accent4"/>
          <w:sz w:val="32"/>
          <w:szCs w:val="32"/>
          <w:lang w:val="lv-LV"/>
        </w:rPr>
        <w:t>Gala s</w:t>
      </w:r>
      <w:r w:rsidR="006E5DD6" w:rsidRPr="00257EFB">
        <w:rPr>
          <w:rFonts w:asciiTheme="majorHAnsi" w:hAnsiTheme="majorHAnsi"/>
          <w:i/>
          <w:color w:val="E0301E" w:themeColor="accent4"/>
          <w:sz w:val="32"/>
          <w:szCs w:val="32"/>
          <w:lang w:val="lv-LV"/>
        </w:rPr>
        <w:t>ecinājum</w:t>
      </w:r>
      <w:r w:rsidR="00453D96">
        <w:rPr>
          <w:rFonts w:asciiTheme="majorHAnsi" w:hAnsiTheme="majorHAnsi"/>
          <w:i/>
          <w:color w:val="E0301E" w:themeColor="accent4"/>
          <w:sz w:val="32"/>
          <w:szCs w:val="32"/>
          <w:lang w:val="lv-LV"/>
        </w:rPr>
        <w:t>i</w:t>
      </w:r>
      <w:r w:rsidR="00D740BC">
        <w:rPr>
          <w:rFonts w:asciiTheme="majorHAnsi" w:hAnsiTheme="majorHAnsi"/>
          <w:i/>
          <w:color w:val="E0301E" w:themeColor="accent4"/>
          <w:sz w:val="32"/>
          <w:szCs w:val="32"/>
          <w:lang w:val="lv-LV"/>
        </w:rPr>
        <w:t>. Ieteikumi.</w:t>
      </w:r>
    </w:p>
    <w:p w14:paraId="20BA87D2" w14:textId="553B6816" w:rsidR="00F06CB2" w:rsidRDefault="00F06CB2" w:rsidP="00257EFB">
      <w:pPr>
        <w:pStyle w:val="BodyText"/>
        <w:numPr>
          <w:ilvl w:val="1"/>
          <w:numId w:val="29"/>
        </w:numPr>
        <w:spacing w:after="120"/>
        <w:jc w:val="both"/>
        <w:rPr>
          <w:lang w:val="lv-LV"/>
        </w:rPr>
      </w:pPr>
      <w:r>
        <w:rPr>
          <w:lang w:val="lv-LV"/>
        </w:rPr>
        <w:t xml:space="preserve">Pieejamie risinājumi ir ļoti dažādi un par to piemērošanu pieejama plaša informācija. </w:t>
      </w:r>
      <w:r w:rsidR="002139B6">
        <w:rPr>
          <w:lang w:val="lv-LV"/>
        </w:rPr>
        <w:t xml:space="preserve">Katrā valstī pieeja atšķiras. Arī Latvijas kontekstā veikti dažādi pētījumi, kuros detalizēti izklāstīti iespējamie mediju finansēšanas varianti. Tomēr, vērojama zināma tendence attīstītajās Eiropas valstīs, kas ierindojas neatkarīgāko un žurnālistikai labvēlīgāko valstu top augšgalā, piemēram, Dānijā, Norvēģijā, Zviedrijā, Somijā, Vācijā u.c. valstīs. </w:t>
      </w:r>
      <w:r w:rsidR="00B93932">
        <w:rPr>
          <w:lang w:val="lv-LV"/>
        </w:rPr>
        <w:t xml:space="preserve">Šajās valstīs sabiedrības iesaiste medija finansēšanā lielākoties ir obligāta, ņemot vērā </w:t>
      </w:r>
      <w:r w:rsidR="00F41D9A">
        <w:rPr>
          <w:lang w:val="lv-LV"/>
        </w:rPr>
        <w:t xml:space="preserve">arī </w:t>
      </w:r>
      <w:r w:rsidR="00B93932">
        <w:rPr>
          <w:lang w:val="lv-LV"/>
        </w:rPr>
        <w:t xml:space="preserve">atbilstošus izņēmumus un nodokļu apmēra samazinājumus. </w:t>
      </w:r>
    </w:p>
    <w:p w14:paraId="0FC4CEF5" w14:textId="60244F4A" w:rsidR="00801661" w:rsidRDefault="009C69AE" w:rsidP="00257EFB">
      <w:pPr>
        <w:pStyle w:val="BodyText"/>
        <w:numPr>
          <w:ilvl w:val="1"/>
          <w:numId w:val="29"/>
        </w:numPr>
        <w:spacing w:after="120"/>
        <w:jc w:val="both"/>
        <w:rPr>
          <w:lang w:val="lv-LV"/>
        </w:rPr>
      </w:pPr>
      <w:r>
        <w:rPr>
          <w:lang w:val="lv-LV"/>
        </w:rPr>
        <w:t xml:space="preserve"> Ņemot </w:t>
      </w:r>
      <w:r w:rsidR="002420AC">
        <w:rPr>
          <w:lang w:val="lv-LV"/>
        </w:rPr>
        <w:t>piemēru no veiksmīgākajām Eiropas valstīm, secin</w:t>
      </w:r>
      <w:r w:rsidR="00D03AA0">
        <w:rPr>
          <w:lang w:val="lv-LV"/>
        </w:rPr>
        <w:t>ā</w:t>
      </w:r>
      <w:r w:rsidR="002420AC">
        <w:rPr>
          <w:lang w:val="lv-LV"/>
        </w:rPr>
        <w:t xml:space="preserve">m, ka to mediju finansēšanas sistēmas atbilst </w:t>
      </w:r>
      <w:r w:rsidR="002420AC" w:rsidRPr="002420AC">
        <w:rPr>
          <w:u w:val="single"/>
          <w:lang w:val="lv-LV"/>
        </w:rPr>
        <w:t>demokrātiski pareizai</w:t>
      </w:r>
      <w:r w:rsidR="002420AC">
        <w:rPr>
          <w:lang w:val="lv-LV"/>
        </w:rPr>
        <w:t xml:space="preserve"> attieksmei pret mediju lomu, un veiksmīgi strādā arī praksē. </w:t>
      </w:r>
      <w:r w:rsidR="00B93578">
        <w:rPr>
          <w:lang w:val="lv-LV"/>
        </w:rPr>
        <w:t>Mūsu ieskatā, iesak</w:t>
      </w:r>
      <w:r w:rsidR="00651528">
        <w:rPr>
          <w:lang w:val="lv-LV"/>
        </w:rPr>
        <w:t>ā</w:t>
      </w:r>
      <w:r w:rsidR="00B93578">
        <w:rPr>
          <w:lang w:val="lv-LV"/>
        </w:rPr>
        <w:t xml:space="preserve">m apsvērt idejas par līdzīgu modeļu izveidi Latvijā, kā piemēru ņemot Lietuvas, Somijas Zviedrijas, Vācijas vai Norvēģijas </w:t>
      </w:r>
      <w:r w:rsidR="00BF2943">
        <w:rPr>
          <w:lang w:val="lv-LV"/>
        </w:rPr>
        <w:t xml:space="preserve">mediju finansēšanas </w:t>
      </w:r>
      <w:r w:rsidR="00B93578">
        <w:rPr>
          <w:lang w:val="lv-LV"/>
        </w:rPr>
        <w:t xml:space="preserve">paraugus. </w:t>
      </w:r>
      <w:r w:rsidR="00651528">
        <w:rPr>
          <w:lang w:val="lv-LV"/>
        </w:rPr>
        <w:t>Šajā situācijā, jākonstatē, ka argumenti p</w:t>
      </w:r>
      <w:r w:rsidR="009A678E">
        <w:rPr>
          <w:lang w:val="lv-LV"/>
        </w:rPr>
        <w:t xml:space="preserve">ret sabiedrības iesaisti medija finansēšanā vairs nav relevanti, ņemot vērā labākos piemērus no ārvalstīm. Šajā sakarā vēlreiz uzsveram Vācijas konstitucionālās tiesas teikto 2018.gadā: ‘’medija nodokļa ieviešana ir konstitucionāla un </w:t>
      </w:r>
      <w:r w:rsidR="009A678E" w:rsidRPr="009A678E">
        <w:rPr>
          <w:u w:val="single"/>
          <w:lang w:val="lv-LV"/>
        </w:rPr>
        <w:t>fundamentāls demokrātijas pamats</w:t>
      </w:r>
      <w:r w:rsidR="009A678E">
        <w:rPr>
          <w:lang w:val="lv-LV"/>
        </w:rPr>
        <w:t xml:space="preserve">.’’ Kā arī Lietuvas konstitucionālās tiesas spriedumā minēto: ‘’Fiksēts finansējums, kas likumā noteikts sabiedriskajam medijam un kura izlietojumu valdība nav tiesīga politiski pārskatīt, ir konstitucionāls un </w:t>
      </w:r>
      <w:r w:rsidR="009A678E" w:rsidRPr="009A678E">
        <w:rPr>
          <w:u w:val="single"/>
          <w:lang w:val="lv-LV"/>
        </w:rPr>
        <w:t>aizsargā mediju no politiska spiediena</w:t>
      </w:r>
      <w:r w:rsidR="009A678E">
        <w:rPr>
          <w:lang w:val="lv-LV"/>
        </w:rPr>
        <w:t xml:space="preserve">. </w:t>
      </w:r>
    </w:p>
    <w:p w14:paraId="01428D3D" w14:textId="1ED93CD8" w:rsidR="00801661" w:rsidRPr="00801661" w:rsidRDefault="005F769C" w:rsidP="00801661">
      <w:pPr>
        <w:pStyle w:val="BodyText"/>
        <w:numPr>
          <w:ilvl w:val="1"/>
          <w:numId w:val="29"/>
        </w:numPr>
        <w:spacing w:after="120"/>
        <w:jc w:val="both"/>
        <w:rPr>
          <w:lang w:val="lv-LV"/>
        </w:rPr>
      </w:pPr>
      <w:r>
        <w:rPr>
          <w:lang w:val="lv-LV"/>
        </w:rPr>
        <w:t xml:space="preserve">Ņemot vērā Satversmes tiesas 2020.gada 29.oktobra spriedumu, medija finansēšanas piesaiste IKP 0,17 apmērā ir apspriežams variants. </w:t>
      </w:r>
      <w:r w:rsidR="00C848E1">
        <w:rPr>
          <w:lang w:val="lv-LV"/>
        </w:rPr>
        <w:t xml:space="preserve">No vienas puses par valsts augstskolu finansēšanas piesaisti IKP 0,25% apmērā tiesa skaidri noteica, ka šāds variants nav pareizs. No otras puses, tiesa attiecībā uz mediju finansēšanu varētu lemt savādāk, ņemot vērā medija svarīgo lomu demokrātiskā sabiedrībā. Mūsu ieskatā, kā iezīmēts finansējums, šāds modelis nav izslēdzams un </w:t>
      </w:r>
      <w:r w:rsidR="00CB2670">
        <w:rPr>
          <w:lang w:val="lv-LV"/>
        </w:rPr>
        <w:t>to vajadzētu</w:t>
      </w:r>
      <w:r w:rsidR="00C848E1">
        <w:rPr>
          <w:lang w:val="lv-LV"/>
        </w:rPr>
        <w:t xml:space="preserve"> paredzēt likumā. Tajā pašā laikā, kopsakarā ar šādu iezīmētu finansējumu, medijam nepieciešams papildus neatkarīgs </w:t>
      </w:r>
      <w:r w:rsidR="00124CFE">
        <w:rPr>
          <w:lang w:val="lv-LV"/>
        </w:rPr>
        <w:t xml:space="preserve">finansējuma </w:t>
      </w:r>
      <w:r w:rsidR="00C848E1">
        <w:rPr>
          <w:lang w:val="lv-LV"/>
        </w:rPr>
        <w:t>avots – sabiedrības finansējums. Piemērus iesakām skatīt no pieminētajām veiksmīgajām valstīm, piemēram, Lietuv</w:t>
      </w:r>
      <w:r w:rsidR="00124CFE">
        <w:rPr>
          <w:lang w:val="lv-LV"/>
        </w:rPr>
        <w:t>as</w:t>
      </w:r>
      <w:r w:rsidR="00C848E1">
        <w:rPr>
          <w:lang w:val="lv-LV"/>
        </w:rPr>
        <w:t xml:space="preserve">. </w:t>
      </w:r>
      <w:r w:rsidR="00B85C61">
        <w:rPr>
          <w:lang w:val="lv-LV"/>
        </w:rPr>
        <w:t xml:space="preserve">Reizē ar šo papildus finansējumu, medijam jāiziet no reklāmas tirgus, lai tā saturs un darbība pilnībā atbilstu mediju ētikai. </w:t>
      </w:r>
      <w:r w:rsidR="007F53CC">
        <w:rPr>
          <w:lang w:val="lv-LV"/>
        </w:rPr>
        <w:t xml:space="preserve">Visas šīs darbības – gan iezīmēta finansējuma piešķiršana, gan sabiedrības iesaiste finansēšanā, gan </w:t>
      </w:r>
      <w:r w:rsidR="009D7545">
        <w:rPr>
          <w:lang w:val="lv-LV"/>
        </w:rPr>
        <w:t xml:space="preserve">iziešana no reklāmas tirgus ir darbības, kas jādara reizē – tikai tādā gadījumā finansēšanas sistēma spēs pilnvērtīgi darboties. Turklāt, mediju finansējumam jābūt nošķirtam no valsts budžeta un </w:t>
      </w:r>
      <w:r w:rsidR="000C02B3">
        <w:rPr>
          <w:lang w:val="lv-LV"/>
        </w:rPr>
        <w:t xml:space="preserve">organizētam ar neatkarīgas institūcijas palīdzību. </w:t>
      </w:r>
    </w:p>
    <w:p w14:paraId="5EB2F40A" w14:textId="1ABB93A7" w:rsidR="00257EFB" w:rsidRPr="00125D53" w:rsidRDefault="00125D53" w:rsidP="00722FC8">
      <w:pPr>
        <w:pStyle w:val="BodyText"/>
        <w:numPr>
          <w:ilvl w:val="1"/>
          <w:numId w:val="29"/>
        </w:numPr>
        <w:spacing w:after="120"/>
        <w:jc w:val="both"/>
        <w:rPr>
          <w:lang w:val="lv-LV"/>
        </w:rPr>
      </w:pPr>
      <w:r w:rsidRPr="00125D53">
        <w:rPr>
          <w:lang w:val="lv-LV"/>
        </w:rPr>
        <w:t>Norād</w:t>
      </w:r>
      <w:r>
        <w:rPr>
          <w:lang w:val="lv-LV"/>
        </w:rPr>
        <w:t>ā</w:t>
      </w:r>
      <w:r w:rsidRPr="00125D53">
        <w:rPr>
          <w:lang w:val="lv-LV"/>
        </w:rPr>
        <w:t>m, ka mūsu skats ir balstīts vispārīgā pētījumā par mediju finansēšanas salīdzināšanu ar ārvalst</w:t>
      </w:r>
      <w:r>
        <w:rPr>
          <w:lang w:val="lv-LV"/>
        </w:rPr>
        <w:t>īs esošajiem labākajiem piemēriem un</w:t>
      </w:r>
      <w:r w:rsidR="00452B15">
        <w:rPr>
          <w:lang w:val="lv-LV"/>
        </w:rPr>
        <w:t xml:space="preserve">, iespējams, ka arī šajās sistēmās ir savas nianses un nepilnības. Taču, vispārīgi izpētot finansēšanas modeļu izpēti – skaidrs, ka veiksmīgi strādā un pietiekamu, neatkarīgu finansējumu ģenerē tieši pieminētās labā piemēra valstis. </w:t>
      </w:r>
    </w:p>
    <w:p w14:paraId="79A3B324" w14:textId="66264100" w:rsidR="00257EFB" w:rsidRDefault="00257EFB" w:rsidP="00FC504A">
      <w:pPr>
        <w:pStyle w:val="BodyText"/>
        <w:spacing w:after="120"/>
        <w:ind w:left="792"/>
        <w:jc w:val="both"/>
        <w:rPr>
          <w:lang w:val="lv-LV"/>
        </w:rPr>
      </w:pPr>
    </w:p>
    <w:p w14:paraId="4F92580F" w14:textId="3C490EAB" w:rsidR="00AC24C4" w:rsidRDefault="00AC24C4" w:rsidP="00AC24C4">
      <w:pPr>
        <w:pStyle w:val="BodyText"/>
        <w:spacing w:after="120"/>
        <w:ind w:left="360"/>
        <w:jc w:val="both"/>
        <w:rPr>
          <w:lang w:val="lv-LV"/>
        </w:rPr>
      </w:pPr>
    </w:p>
    <w:p w14:paraId="59C47A14" w14:textId="618C47CD" w:rsidR="00AC24C4" w:rsidRDefault="00AC24C4" w:rsidP="00AC24C4">
      <w:pPr>
        <w:pStyle w:val="BodyText"/>
        <w:spacing w:after="120"/>
        <w:ind w:left="360"/>
        <w:jc w:val="both"/>
        <w:rPr>
          <w:lang w:val="lv-LV"/>
        </w:rPr>
      </w:pPr>
    </w:p>
    <w:p w14:paraId="5DAB6AF2" w14:textId="1432C033" w:rsidR="00AC24C4" w:rsidRDefault="00AC24C4" w:rsidP="00AC24C4">
      <w:pPr>
        <w:pStyle w:val="BodyText"/>
        <w:spacing w:after="120"/>
        <w:ind w:left="360"/>
        <w:jc w:val="both"/>
        <w:rPr>
          <w:lang w:val="lv-LV"/>
        </w:rPr>
      </w:pPr>
    </w:p>
    <w:p w14:paraId="32DDF351" w14:textId="77777777" w:rsidR="00AC24C4" w:rsidRPr="00801661" w:rsidRDefault="00AC24C4" w:rsidP="00125D53">
      <w:pPr>
        <w:pStyle w:val="BodyText"/>
        <w:spacing w:after="120"/>
        <w:jc w:val="both"/>
        <w:rPr>
          <w:lang w:val="lv-LV"/>
        </w:rPr>
      </w:pPr>
    </w:p>
    <w:sectPr w:rsidR="00AC24C4" w:rsidRPr="00801661" w:rsidSect="009E1163">
      <w:headerReference w:type="even" r:id="rId13"/>
      <w:headerReference w:type="default" r:id="rId14"/>
      <w:footerReference w:type="default" r:id="rId15"/>
      <w:headerReference w:type="first" r:id="rId16"/>
      <w:footerReference w:type="first" r:id="rId17"/>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D378" w14:textId="77777777" w:rsidR="00115F74" w:rsidRDefault="00115F74">
      <w:pPr>
        <w:spacing w:after="0" w:line="240" w:lineRule="auto"/>
      </w:pPr>
      <w:r>
        <w:separator/>
      </w:r>
    </w:p>
  </w:endnote>
  <w:endnote w:type="continuationSeparator" w:id="0">
    <w:p w14:paraId="1CF98C78" w14:textId="77777777" w:rsidR="00115F74" w:rsidRDefault="00115F74">
      <w:pPr>
        <w:spacing w:after="0" w:line="240" w:lineRule="auto"/>
      </w:pPr>
      <w:r>
        <w:continuationSeparator/>
      </w:r>
    </w:p>
  </w:endnote>
  <w:endnote w:type="continuationNotice" w:id="1">
    <w:p w14:paraId="77E3BBE2" w14:textId="77777777" w:rsidR="00115F74" w:rsidRDefault="00115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4682" w14:textId="77777777" w:rsidR="00C848E1" w:rsidRDefault="00C848E1">
    <w:pPr>
      <w:pStyle w:val="Footer"/>
    </w:pPr>
    <w:r>
      <w:t>Footer text goes here</w:t>
    </w:r>
  </w:p>
  <w:p w14:paraId="5AD3AACA" w14:textId="77777777" w:rsidR="00C848E1" w:rsidRDefault="00C848E1">
    <w:pPr>
      <w:pStyle w:val="Footer"/>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6</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3DA5" w14:textId="77777777" w:rsidR="00C848E1" w:rsidRDefault="00C848E1">
    <w:pPr>
      <w:pStyle w:val="Footer"/>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7</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92BC" w14:textId="7BE8367C" w:rsidR="00C848E1" w:rsidRDefault="00C848E1">
    <w:pPr>
      <w:pStyle w:val="Footer"/>
      <w:tabs>
        <w:tab w:val="left" w:pos="1755"/>
      </w:tabs>
    </w:pPr>
    <w:r>
      <w:rPr>
        <w:noProof/>
        <w:lang w:val="en-US"/>
      </w:rPr>
      <w:drawing>
        <wp:anchor distT="0" distB="0" distL="114300" distR="114300" simplePos="0" relativeHeight="251657216" behindDoc="0" locked="0" layoutInCell="1" allowOverlap="1" wp14:anchorId="75154601" wp14:editId="6110D441">
          <wp:simplePos x="0" y="0"/>
          <wp:positionH relativeFrom="column">
            <wp:posOffset>2527300</wp:posOffset>
          </wp:positionH>
          <wp:positionV relativeFrom="paragraph">
            <wp:posOffset>-4029075</wp:posOffset>
          </wp:positionV>
          <wp:extent cx="2023110" cy="1689199"/>
          <wp:effectExtent l="0" t="0" r="0" b="0"/>
          <wp:wrapNone/>
          <wp:docPr id="27" name="Picture 0" descr="PwC_fl_4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4cp.eps"/>
                  <pic:cNvPicPr/>
                </pic:nvPicPr>
                <pic:blipFill>
                  <a:blip r:embed="rId1"/>
                  <a:stretch>
                    <a:fillRect/>
                  </a:stretch>
                </pic:blipFill>
                <pic:spPr>
                  <a:xfrm>
                    <a:off x="0" y="0"/>
                    <a:ext cx="2023110" cy="1689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i w:val="0"/>
        <w:noProof w:val="0"/>
        <w:sz w:val="20"/>
        <w:szCs w:val="20"/>
        <w:lang w:eastAsia="en-US"/>
      </w:rPr>
      <w:id w:val="-1670012506"/>
      <w:docPartObj>
        <w:docPartGallery w:val="Page Numbers (Bottom of Page)"/>
        <w:docPartUnique/>
      </w:docPartObj>
    </w:sdtPr>
    <w:sdtEndPr/>
    <w:sdtContent>
      <w:p w14:paraId="00BBA72E" w14:textId="74392F82" w:rsidR="00C848E1" w:rsidRDefault="00C848E1" w:rsidP="00903332">
        <w:pPr>
          <w:pStyle w:val="Address"/>
          <w:spacing w:beforeLines="50" w:before="120"/>
        </w:pPr>
      </w:p>
      <w:p w14:paraId="6B297D92" w14:textId="74392F82" w:rsidR="00C848E1" w:rsidRPr="00B96399" w:rsidRDefault="00C848E1">
        <w:pPr>
          <w:pStyle w:val="Footer"/>
          <w:jc w:val="center"/>
          <w:rPr>
            <w:rFonts w:asciiTheme="majorHAnsi" w:hAnsiTheme="majorHAnsi"/>
            <w:sz w:val="20"/>
          </w:rPr>
        </w:pPr>
        <w:r w:rsidRPr="00B96399">
          <w:rPr>
            <w:rFonts w:asciiTheme="majorHAnsi" w:hAnsiTheme="majorHAnsi"/>
            <w:sz w:val="20"/>
          </w:rPr>
          <w:fldChar w:fldCharType="begin"/>
        </w:r>
        <w:r w:rsidRPr="00B96399">
          <w:rPr>
            <w:rFonts w:asciiTheme="majorHAnsi" w:hAnsiTheme="majorHAnsi"/>
            <w:sz w:val="20"/>
          </w:rPr>
          <w:instrText xml:space="preserve"> PAGE   \* MERGEFORMAT </w:instrText>
        </w:r>
        <w:r w:rsidRPr="00B96399">
          <w:rPr>
            <w:rFonts w:asciiTheme="majorHAnsi" w:hAnsiTheme="majorHAnsi"/>
            <w:sz w:val="20"/>
          </w:rPr>
          <w:fldChar w:fldCharType="separate"/>
        </w:r>
        <w:r w:rsidRPr="00B96399">
          <w:rPr>
            <w:rFonts w:asciiTheme="majorHAnsi" w:hAnsiTheme="majorHAnsi"/>
            <w:noProof/>
            <w:sz w:val="20"/>
          </w:rPr>
          <w:t>2</w:t>
        </w:r>
        <w:r w:rsidRPr="00B96399">
          <w:rPr>
            <w:rFonts w:asciiTheme="majorHAnsi" w:hAnsiTheme="majorHAnsi"/>
            <w:noProof/>
            <w:sz w:val="20"/>
          </w:rPr>
          <w:fldChar w:fldCharType="end"/>
        </w:r>
      </w:p>
    </w:sdtContent>
  </w:sdt>
  <w:p w14:paraId="250EEE0A" w14:textId="4559360E" w:rsidR="00C848E1" w:rsidRPr="00B96399" w:rsidRDefault="00C848E1">
    <w:pPr>
      <w:pStyle w:val="Footer"/>
      <w:rPr>
        <w:rFonts w:asciiTheme="majorHAnsi" w:hAnsiTheme="majorHAns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BC48" w14:textId="77777777" w:rsidR="00C848E1" w:rsidRDefault="00C848E1">
    <w:pPr>
      <w:pStyle w:val="Footer"/>
    </w:pPr>
    <w:r>
      <w:t>Local disclaimer and copyright statements go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73005" w14:textId="77777777" w:rsidR="00115F74" w:rsidRDefault="00115F74">
      <w:pPr>
        <w:spacing w:after="0" w:line="240" w:lineRule="auto"/>
      </w:pPr>
      <w:r>
        <w:separator/>
      </w:r>
    </w:p>
  </w:footnote>
  <w:footnote w:type="continuationSeparator" w:id="0">
    <w:p w14:paraId="7CA2FB0D" w14:textId="77777777" w:rsidR="00115F74" w:rsidRDefault="00115F74">
      <w:pPr>
        <w:spacing w:after="0" w:line="240" w:lineRule="auto"/>
      </w:pPr>
      <w:r>
        <w:continuationSeparator/>
      </w:r>
    </w:p>
  </w:footnote>
  <w:footnote w:type="continuationNotice" w:id="1">
    <w:p w14:paraId="1B9C952D" w14:textId="77777777" w:rsidR="00115F74" w:rsidRDefault="00115F74">
      <w:pPr>
        <w:spacing w:after="0" w:line="240" w:lineRule="auto"/>
      </w:pPr>
    </w:p>
  </w:footnote>
  <w:footnote w:id="2">
    <w:p w14:paraId="7390452C" w14:textId="3D70F7A3" w:rsidR="00C848E1" w:rsidRPr="00744F52" w:rsidRDefault="00C848E1" w:rsidP="00C45DC9">
      <w:pPr>
        <w:pStyle w:val="FootnoteText"/>
      </w:pPr>
      <w:r w:rsidRPr="00744F52">
        <w:rPr>
          <w:rStyle w:val="FootnoteReference"/>
        </w:rPr>
        <w:footnoteRef/>
      </w:r>
      <w:r w:rsidRPr="00744F52">
        <w:t xml:space="preserve"> </w:t>
      </w:r>
      <w:r w:rsidRPr="00744F52">
        <w:rPr>
          <w:rFonts w:asciiTheme="majorHAnsi" w:eastAsia="Times New Roman" w:hAnsiTheme="majorHAnsi" w:cs="Times New Roman"/>
        </w:rPr>
        <w:t xml:space="preserve">Comparative Media Policy, Regulation and Governance in Europe Unpacking the Policy Cycle, pieejams: </w:t>
      </w:r>
      <w:hyperlink r:id="rId1">
        <w:r w:rsidRPr="00744F52">
          <w:rPr>
            <w:rFonts w:asciiTheme="majorHAnsi" w:eastAsia="Times New Roman" w:hAnsiTheme="majorHAnsi" w:cs="Times New Roman"/>
            <w:u w:val="single"/>
          </w:rPr>
          <w:t>https://library.oapen.org/bitstream/handle/20.500.12657/30508/645611.pdf?sequence=1</w:t>
        </w:r>
      </w:hyperlink>
    </w:p>
  </w:footnote>
  <w:footnote w:id="3">
    <w:p w14:paraId="35597772" w14:textId="410F2325" w:rsidR="00C848E1" w:rsidRPr="00744F52" w:rsidRDefault="00C848E1" w:rsidP="00C45DC9">
      <w:pPr>
        <w:pStyle w:val="FootnoteText"/>
      </w:pPr>
      <w:r w:rsidRPr="00744F52">
        <w:rPr>
          <w:rStyle w:val="FootnoteReference"/>
        </w:rPr>
        <w:footnoteRef/>
      </w:r>
      <w:r w:rsidRPr="00744F52">
        <w:t xml:space="preserve"> Mediju ētikas principi nostiprināti Ētikas kodeksā: </w:t>
      </w:r>
      <w:hyperlink r:id="rId2" w:history="1">
        <w:r w:rsidRPr="00744F52">
          <w:rPr>
            <w:rStyle w:val="Hyperlink"/>
            <w:color w:val="auto"/>
          </w:rPr>
          <w:t>https://site-775587.mozfiles.com/files/775587/Etikas_kodekss_20190227_pdf.pdf?1552826658</w:t>
        </w:r>
      </w:hyperlink>
      <w:r w:rsidRPr="00744F52">
        <w:t xml:space="preserve"> </w:t>
      </w:r>
    </w:p>
  </w:footnote>
  <w:footnote w:id="4">
    <w:p w14:paraId="1F1D9DFE" w14:textId="2FAA00D1" w:rsidR="00C848E1" w:rsidRPr="00744F52" w:rsidRDefault="00C848E1" w:rsidP="00C45DC9">
      <w:pPr>
        <w:pStyle w:val="FootnoteText"/>
      </w:pPr>
      <w:r w:rsidRPr="00744F52">
        <w:rPr>
          <w:rStyle w:val="FootnoteReference"/>
        </w:rPr>
        <w:footnoteRef/>
      </w:r>
      <w:r w:rsidRPr="00744F52">
        <w:t xml:space="preserve"> Piemēram skatīt: </w:t>
      </w:r>
      <w:hyperlink r:id="rId3" w:history="1">
        <w:r w:rsidRPr="00744F52">
          <w:rPr>
            <w:rStyle w:val="Hyperlink"/>
            <w:color w:val="auto"/>
          </w:rPr>
          <w:t>https://www.lsm.lv/raksts/zinas/latvija/mediju-eksperti-kritize-deputatu-lemumu-nemainit-sabiedrisko-mediju-finansesanas-modeli.a340036/</w:t>
        </w:r>
      </w:hyperlink>
      <w:r w:rsidRPr="00744F52">
        <w:t xml:space="preserve"> </w:t>
      </w:r>
    </w:p>
  </w:footnote>
  <w:footnote w:id="5">
    <w:p w14:paraId="43690D8C" w14:textId="37B8FEF8" w:rsidR="00C848E1" w:rsidRPr="00744F52" w:rsidRDefault="00C848E1" w:rsidP="00C45DC9">
      <w:pPr>
        <w:pStyle w:val="FootnoteText"/>
      </w:pPr>
      <w:r w:rsidRPr="00744F52">
        <w:rPr>
          <w:rStyle w:val="FootnoteReference"/>
        </w:rPr>
        <w:footnoteRef/>
      </w:r>
      <w:r w:rsidRPr="00744F52">
        <w:t xml:space="preserve"> Pieejams: </w:t>
      </w:r>
      <w:hyperlink r:id="rId4" w:history="1">
        <w:r w:rsidRPr="00744F52">
          <w:rPr>
            <w:rStyle w:val="Hyperlink"/>
            <w:color w:val="auto"/>
          </w:rPr>
          <w:t>https://likumi.lv/ta/id/319096-sabiedrisko-elektronisko-plassazinas-lidzeklu-un-to-parvaldibas-likums</w:t>
        </w:r>
      </w:hyperlink>
      <w:r w:rsidRPr="00744F52">
        <w:t xml:space="preserve"> </w:t>
      </w:r>
    </w:p>
  </w:footnote>
  <w:footnote w:id="6">
    <w:p w14:paraId="621C6185" w14:textId="224FE77F" w:rsidR="00C848E1" w:rsidRPr="00744F52" w:rsidRDefault="00C848E1" w:rsidP="00C45DC9">
      <w:pPr>
        <w:pStyle w:val="FootnoteText"/>
        <w:rPr>
          <w:lang w:val="lv-LV"/>
        </w:rPr>
      </w:pPr>
      <w:r w:rsidRPr="00744F52">
        <w:rPr>
          <w:rStyle w:val="FootnoteReference"/>
        </w:rPr>
        <w:footnoteRef/>
      </w:r>
      <w:r w:rsidRPr="00744F52">
        <w:t xml:space="preserve"> Pieejams: </w:t>
      </w:r>
      <w:hyperlink r:id="rId5" w:history="1">
        <w:r w:rsidRPr="00744F52">
          <w:rPr>
            <w:rStyle w:val="Hyperlink"/>
            <w:color w:val="auto"/>
          </w:rPr>
          <w:t>https://lvportals.lv/skaidrojumi/322417-jauns-likums-sabiedrisko-mediju-parvaldibai-2020</w:t>
        </w:r>
      </w:hyperlink>
      <w:r w:rsidRPr="00744F52">
        <w:t xml:space="preserve"> </w:t>
      </w:r>
    </w:p>
  </w:footnote>
  <w:footnote w:id="7">
    <w:p w14:paraId="7581B144" w14:textId="1C691C60" w:rsidR="00C848E1" w:rsidRPr="00744F52" w:rsidRDefault="00C848E1" w:rsidP="00C45DC9">
      <w:pPr>
        <w:pStyle w:val="FootnoteText"/>
        <w:rPr>
          <w:lang w:val="lv-LV"/>
        </w:rPr>
      </w:pPr>
      <w:r w:rsidRPr="00744F52">
        <w:rPr>
          <w:rStyle w:val="FootnoteReference"/>
        </w:rPr>
        <w:footnoteRef/>
      </w:r>
      <w:r w:rsidRPr="00744F52">
        <w:rPr>
          <w:lang w:val="lv-LV"/>
        </w:rPr>
        <w:t xml:space="preserve"> </w:t>
      </w:r>
      <w:hyperlink r:id="rId6" w:history="1">
        <w:r w:rsidRPr="00744F52">
          <w:rPr>
            <w:rStyle w:val="Hyperlink"/>
            <w:color w:val="auto"/>
            <w:lang w:val="lv-LV"/>
          </w:rPr>
          <w:t>https://www.lsm.lv/raksts/zinas/latvija/mediju-eksperti-kritize-deputatu-lemumu-nemainit-sabiedrisko-mediju-finansesanas-modeli.a340036/</w:t>
        </w:r>
      </w:hyperlink>
      <w:r w:rsidRPr="00744F52">
        <w:rPr>
          <w:lang w:val="lv-LV"/>
        </w:rPr>
        <w:t xml:space="preserve"> ; skatīt arī </w:t>
      </w:r>
      <w:hyperlink r:id="rId7" w:history="1">
        <w:r w:rsidRPr="00744F52">
          <w:rPr>
            <w:rStyle w:val="Hyperlink"/>
            <w:color w:val="auto"/>
            <w:lang w:val="lv-LV"/>
          </w:rPr>
          <w:t>https://www.lsm.lv/raksts/zinas/latvija/km-rosina-parskatit-reklamas-ierobezojumus-medijiem-un-sakt-diskusiju-par-digitalo-nodokli.a339668/</w:t>
        </w:r>
      </w:hyperlink>
      <w:r w:rsidRPr="00744F52">
        <w:rPr>
          <w:lang w:val="lv-LV"/>
        </w:rPr>
        <w:t xml:space="preserve"> </w:t>
      </w:r>
    </w:p>
  </w:footnote>
  <w:footnote w:id="8">
    <w:p w14:paraId="4C8DAFD8" w14:textId="01595FE6" w:rsidR="00C848E1" w:rsidRPr="00102DB4" w:rsidRDefault="00C848E1" w:rsidP="00C45DC9">
      <w:pPr>
        <w:pStyle w:val="FootnoteText"/>
        <w:rPr>
          <w:lang w:val="lv-LV"/>
        </w:rPr>
      </w:pPr>
      <w:r w:rsidRPr="00070CC9">
        <w:rPr>
          <w:rStyle w:val="FootnoteReference"/>
        </w:rPr>
        <w:footnoteRef/>
      </w:r>
      <w:r w:rsidRPr="00070CC9">
        <w:t xml:space="preserve"> </w:t>
      </w:r>
      <w:r w:rsidRPr="00070CC9">
        <w:rPr>
          <w:lang w:val="lv-LV"/>
        </w:rPr>
        <w:t>S</w:t>
      </w:r>
      <w:r>
        <w:rPr>
          <w:lang w:val="lv-LV"/>
        </w:rPr>
        <w:t xml:space="preserve">kat.piemēram, ‘’After All This Time? The Impact of Media and Authoritarian History on Political News Coverage in Twelve Western Countries’’. Amsterdam School of Communication Reaserch, 2020, pieejams: </w:t>
      </w:r>
      <w:hyperlink r:id="rId8" w:history="1">
        <w:r w:rsidRPr="00F979A0">
          <w:rPr>
            <w:rStyle w:val="Hyperlink"/>
            <w:lang w:val="lv-LV"/>
          </w:rPr>
          <w:t>https://academic.oup.com/joc/article/70/5/744/5916957</w:t>
        </w:r>
      </w:hyperlink>
      <w:r>
        <w:rPr>
          <w:lang w:val="lv-LV"/>
        </w:rPr>
        <w:t xml:space="preserve"> </w:t>
      </w:r>
    </w:p>
  </w:footnote>
  <w:footnote w:id="9">
    <w:p w14:paraId="19EED18E" w14:textId="634B28EB" w:rsidR="00C848E1" w:rsidRPr="00102DB4" w:rsidRDefault="00C848E1" w:rsidP="00C45DC9">
      <w:pPr>
        <w:pStyle w:val="FootnoteText"/>
      </w:pPr>
      <w:r w:rsidRPr="00102DB4">
        <w:rPr>
          <w:rStyle w:val="FootnoteReference"/>
        </w:rPr>
        <w:footnoteRef/>
      </w:r>
      <w:r w:rsidRPr="00102DB4">
        <w:t xml:space="preserve"> </w:t>
      </w:r>
      <w:bookmarkStart w:id="7" w:name="_Hlk58853571"/>
      <w:r w:rsidRPr="00102DB4">
        <w:t xml:space="preserve">Bugarič Bojan ‘’A crisis of constitutional democracy in post-Communist Europe: ‘’Lands in-between’’ democracy and authoritarianism’’. New York: Oxford University Press, 2015, p.239 </w:t>
      </w:r>
    </w:p>
    <w:bookmarkEnd w:id="7"/>
  </w:footnote>
  <w:footnote w:id="10">
    <w:p w14:paraId="5CC67437" w14:textId="77777777" w:rsidR="00C848E1" w:rsidRPr="00102DB4" w:rsidRDefault="00C848E1" w:rsidP="00C45DC9">
      <w:pPr>
        <w:pStyle w:val="FootnoteText"/>
        <w:rPr>
          <w:lang w:val="lv-LV"/>
        </w:rPr>
      </w:pPr>
      <w:r w:rsidRPr="00102DB4">
        <w:rPr>
          <w:rStyle w:val="FootnoteReference"/>
        </w:rPr>
        <w:footnoteRef/>
      </w:r>
      <w:r w:rsidRPr="00102DB4">
        <w:t xml:space="preserve"> Picard Robert G. ‘’The Economics and Financing of Media Companies. Second Edition. New York: Fordham University Press, 2011, p.16 </w:t>
      </w:r>
    </w:p>
  </w:footnote>
  <w:footnote w:id="11">
    <w:p w14:paraId="44654FD3" w14:textId="77777777" w:rsidR="00C848E1" w:rsidRPr="00102DB4" w:rsidRDefault="00C848E1" w:rsidP="00C45DC9">
      <w:pPr>
        <w:pStyle w:val="FootnoteText"/>
        <w:rPr>
          <w:lang w:val="lv-LV"/>
        </w:rPr>
      </w:pPr>
      <w:r w:rsidRPr="00102DB4">
        <w:rPr>
          <w:rStyle w:val="FootnoteReference"/>
        </w:rPr>
        <w:footnoteRef/>
      </w:r>
      <w:r w:rsidRPr="00102DB4">
        <w:t xml:space="preserve"> </w:t>
      </w:r>
      <w:r w:rsidRPr="00102DB4">
        <w:rPr>
          <w:lang w:val="lv-LV"/>
        </w:rPr>
        <w:t>Turpat</w:t>
      </w:r>
    </w:p>
  </w:footnote>
  <w:footnote w:id="12">
    <w:p w14:paraId="7DB4366D" w14:textId="77777777" w:rsidR="00C848E1" w:rsidRPr="00102DB4" w:rsidRDefault="00C848E1" w:rsidP="00C45DC9">
      <w:pPr>
        <w:pStyle w:val="FootnoteText"/>
        <w:rPr>
          <w:lang w:val="lv-LV"/>
        </w:rPr>
      </w:pPr>
      <w:r w:rsidRPr="00102DB4">
        <w:rPr>
          <w:rStyle w:val="FootnoteReference"/>
        </w:rPr>
        <w:footnoteRef/>
      </w:r>
      <w:r w:rsidRPr="00102DB4">
        <w:rPr>
          <w:lang w:val="lv-LV"/>
        </w:rPr>
        <w:t xml:space="preserve"> </w:t>
      </w:r>
      <w:hyperlink r:id="rId9" w:history="1">
        <w:r w:rsidRPr="00102DB4">
          <w:rPr>
            <w:rStyle w:val="Hyperlink"/>
            <w:color w:val="auto"/>
            <w:lang w:val="lv-LV"/>
          </w:rPr>
          <w:t>https://www.lsm.lv/raksts/zinas/zinu-analize/ka-arstet-sabiedrisko-mediju-hronisko-naudas-trukumu-un-saraustitos-pieskirumus.a309267/</w:t>
        </w:r>
      </w:hyperlink>
      <w:r w:rsidRPr="00102DB4">
        <w:rPr>
          <w:lang w:val="lv-LV"/>
        </w:rPr>
        <w:t xml:space="preserve"> </w:t>
      </w:r>
    </w:p>
  </w:footnote>
  <w:footnote w:id="13">
    <w:p w14:paraId="5A0E0DF9" w14:textId="213CF681" w:rsidR="00C848E1" w:rsidRPr="00944E62" w:rsidRDefault="00C848E1" w:rsidP="00C45DC9">
      <w:pPr>
        <w:pStyle w:val="FootnoteText"/>
        <w:rPr>
          <w:lang w:val="lv-LV"/>
        </w:rPr>
      </w:pPr>
      <w:r>
        <w:rPr>
          <w:rStyle w:val="FootnoteReference"/>
        </w:rPr>
        <w:footnoteRef/>
      </w:r>
      <w:r w:rsidRPr="00944E62">
        <w:rPr>
          <w:lang w:val="lv-LV"/>
        </w:rPr>
        <w:t xml:space="preserve"> </w:t>
      </w:r>
      <w:r>
        <w:rPr>
          <w:lang w:val="lv-LV"/>
        </w:rPr>
        <w:t xml:space="preserve">Skatīt, piemēram, Profesionālo žurnālistu sabiedrības ētikas kodeksu: </w:t>
      </w:r>
      <w:hyperlink r:id="rId10" w:history="1">
        <w:r w:rsidRPr="00D410DA">
          <w:rPr>
            <w:rStyle w:val="Hyperlink"/>
            <w:lang w:val="lv-LV"/>
          </w:rPr>
          <w:t>https://www.spj.org/ethicscode.asp</w:t>
        </w:r>
      </w:hyperlink>
      <w:r>
        <w:rPr>
          <w:lang w:val="lv-LV"/>
        </w:rPr>
        <w:t xml:space="preserve">; Vispārējo žurnālistu ētikas hartu: </w:t>
      </w:r>
      <w:hyperlink r:id="rId11" w:history="1">
        <w:r w:rsidRPr="00D410DA">
          <w:rPr>
            <w:rStyle w:val="Hyperlink"/>
            <w:lang w:val="lv-LV"/>
          </w:rPr>
          <w:t>https://www.ifj.org/who/rules-and-policy/global-charter-of-ethics-for-journalists.html</w:t>
        </w:r>
      </w:hyperlink>
      <w:r>
        <w:rPr>
          <w:lang w:val="lv-LV"/>
        </w:rPr>
        <w:t xml:space="preserve">; </w:t>
      </w:r>
    </w:p>
  </w:footnote>
  <w:footnote w:id="14">
    <w:p w14:paraId="1595C57C" w14:textId="17FB83CF" w:rsidR="00C848E1" w:rsidRPr="00DE09D4" w:rsidRDefault="00C848E1" w:rsidP="00C45DC9">
      <w:pPr>
        <w:pStyle w:val="FootnoteText"/>
      </w:pPr>
      <w:r>
        <w:rPr>
          <w:rStyle w:val="FootnoteReference"/>
        </w:rPr>
        <w:footnoteRef/>
      </w:r>
      <w:r>
        <w:t xml:space="preserve"> </w:t>
      </w:r>
      <w:r w:rsidRPr="00102DB4">
        <w:t>Bugarič Bojan ‘’A crisis of constitutional democracy in post-Communist Europe: ‘’Lands in-between’’ democracy and authoritarianism’’. New York: Oxford University Press, 2015, p.2</w:t>
      </w:r>
      <w:r>
        <w:t xml:space="preserve">19 </w:t>
      </w:r>
      <w:r w:rsidRPr="00102DB4">
        <w:t xml:space="preserve"> </w:t>
      </w:r>
    </w:p>
  </w:footnote>
  <w:footnote w:id="15">
    <w:p w14:paraId="544E7649" w14:textId="71FEA46F" w:rsidR="00C848E1" w:rsidRPr="00DE09D4" w:rsidRDefault="00C848E1" w:rsidP="00C45DC9">
      <w:pPr>
        <w:pStyle w:val="FootnoteText"/>
        <w:rPr>
          <w:lang w:val="lv-LV"/>
        </w:rPr>
      </w:pPr>
      <w:r>
        <w:rPr>
          <w:rStyle w:val="FootnoteReference"/>
        </w:rPr>
        <w:footnoteRef/>
      </w:r>
      <w:r>
        <w:t xml:space="preserve"> Van der Wurff R., De Swert K., Lecheler S. ‘’News Quality and Public Opinion: The Impact of Deliberative Quality of News Media on Citizens’ Argument Repertoire’’. Published by Oxford university Press on behalf of World Association for Public Opinion Reaserch: International Journal of Public Opinion Reaserch Vol.30 No.2, 2018, p.234 </w:t>
      </w:r>
    </w:p>
  </w:footnote>
  <w:footnote w:id="16">
    <w:p w14:paraId="7B91C4F7" w14:textId="36AF6477" w:rsidR="00C848E1" w:rsidRPr="00F052A3" w:rsidRDefault="00C848E1" w:rsidP="00C45DC9">
      <w:pPr>
        <w:pStyle w:val="FootnoteText"/>
        <w:rPr>
          <w:lang w:val="lv-LV"/>
        </w:rPr>
      </w:pPr>
      <w:r>
        <w:rPr>
          <w:rStyle w:val="FootnoteReference"/>
        </w:rPr>
        <w:footnoteRef/>
      </w:r>
      <w:r w:rsidRPr="00F052A3">
        <w:rPr>
          <w:lang w:val="lv-LV"/>
        </w:rPr>
        <w:t xml:space="preserve"> </w:t>
      </w:r>
      <w:hyperlink r:id="rId12" w:history="1">
        <w:r w:rsidRPr="00D410DA">
          <w:rPr>
            <w:rStyle w:val="Hyperlink"/>
            <w:lang w:val="lv-LV"/>
          </w:rPr>
          <w:t>https://www.dw.com/en/german-zdf-and-ard-public-broadcasting-household-levy-ruled-constitutional/a-44721576</w:t>
        </w:r>
      </w:hyperlink>
      <w:r>
        <w:rPr>
          <w:lang w:val="lv-LV"/>
        </w:rPr>
        <w:t xml:space="preserve"> </w:t>
      </w:r>
    </w:p>
  </w:footnote>
  <w:footnote w:id="17">
    <w:p w14:paraId="18F5DD7A" w14:textId="0780E73D" w:rsidR="00C848E1" w:rsidRPr="00486930" w:rsidRDefault="00C848E1">
      <w:pPr>
        <w:pStyle w:val="FootnoteText"/>
        <w:rPr>
          <w:lang w:val="lv-LV"/>
        </w:rPr>
      </w:pPr>
      <w:r>
        <w:rPr>
          <w:rStyle w:val="FootnoteReference"/>
        </w:rPr>
        <w:footnoteRef/>
      </w:r>
      <w:r w:rsidRPr="00486930">
        <w:rPr>
          <w:lang w:val="lv-LV"/>
        </w:rPr>
        <w:t xml:space="preserve"> </w:t>
      </w:r>
      <w:hyperlink r:id="rId13" w:history="1">
        <w:r w:rsidRPr="00F979A0">
          <w:rPr>
            <w:rStyle w:val="Hyperlink"/>
            <w:lang w:val="lv-LV"/>
          </w:rPr>
          <w:t>https://lvportals.lv/dienaskartiba/210613-konstitucionalo-tiesibu-komisijas-viedoklis-par-sabiedrisko-elektronisko-plassazinas-lidzeklu-tiesisko-regulejumu-demokratiskas-valsts-iekarta-2010</w:t>
        </w:r>
      </w:hyperlink>
      <w:r>
        <w:rPr>
          <w:lang w:val="lv-LV"/>
        </w:rPr>
        <w:t xml:space="preserve"> </w:t>
      </w:r>
    </w:p>
  </w:footnote>
  <w:footnote w:id="18">
    <w:p w14:paraId="2B36C0D5" w14:textId="625C4150" w:rsidR="00C848E1" w:rsidRPr="000A1702" w:rsidRDefault="00C848E1">
      <w:pPr>
        <w:pStyle w:val="FootnoteText"/>
        <w:rPr>
          <w:lang w:val="lv-LV"/>
        </w:rPr>
      </w:pPr>
      <w:r>
        <w:rPr>
          <w:rStyle w:val="FootnoteReference"/>
        </w:rPr>
        <w:footnoteRef/>
      </w:r>
      <w:hyperlink r:id="rId14" w:history="1">
        <w:r w:rsidRPr="00F979A0">
          <w:rPr>
            <w:rStyle w:val="Hyperlink"/>
            <w:lang w:val="lv-LV"/>
          </w:rPr>
          <w:t>https://rm.coe.int/CoERMPublicCommonSearchServices/DisplayDCTMContent?documentId=090000168050c770</w:t>
        </w:r>
      </w:hyperlink>
      <w:r>
        <w:rPr>
          <w:lang w:val="lv-LV"/>
        </w:rPr>
        <w:t xml:space="preserve"> </w:t>
      </w:r>
    </w:p>
  </w:footnote>
  <w:footnote w:id="19">
    <w:p w14:paraId="2B417311" w14:textId="5414FD3B" w:rsidR="00C848E1" w:rsidRPr="00990C77" w:rsidRDefault="00C848E1">
      <w:pPr>
        <w:pStyle w:val="FootnoteText"/>
        <w:rPr>
          <w:lang w:val="lv-LV"/>
        </w:rPr>
      </w:pPr>
      <w:r>
        <w:rPr>
          <w:rStyle w:val="FootnoteReference"/>
        </w:rPr>
        <w:footnoteRef/>
      </w:r>
      <w:r w:rsidRPr="00990C77">
        <w:rPr>
          <w:lang w:val="lv-LV"/>
        </w:rPr>
        <w:t xml:space="preserve"> </w:t>
      </w:r>
      <w:r>
        <w:rPr>
          <w:lang w:val="lv-LV"/>
        </w:rPr>
        <w:t xml:space="preserve">Skatīt, piemēram: McQuail D. ‘’The Influence and effects of Mass Media’’, pieejams: </w:t>
      </w:r>
      <w:hyperlink r:id="rId15" w:history="1">
        <w:r w:rsidRPr="00F979A0">
          <w:rPr>
            <w:rStyle w:val="Hyperlink"/>
            <w:lang w:val="lv-LV"/>
          </w:rPr>
          <w:t>https://www.csub.edu/~mault/the%20influence%20and%20effects%20o.pdf</w:t>
        </w:r>
      </w:hyperlink>
      <w:r>
        <w:rPr>
          <w:lang w:val="lv-LV"/>
        </w:rPr>
        <w:t xml:space="preserve"> </w:t>
      </w:r>
    </w:p>
  </w:footnote>
  <w:footnote w:id="20">
    <w:p w14:paraId="406FCE2D" w14:textId="2CA343D0" w:rsidR="00C848E1" w:rsidRPr="008E64DE" w:rsidRDefault="00C848E1" w:rsidP="00C45DC9">
      <w:pPr>
        <w:pStyle w:val="FootnoteText"/>
        <w:rPr>
          <w:lang w:val="lv-LV"/>
        </w:rPr>
      </w:pPr>
      <w:r w:rsidRPr="008E64DE">
        <w:rPr>
          <w:rStyle w:val="FootnoteReference"/>
        </w:rPr>
        <w:footnoteRef/>
      </w:r>
      <w:r w:rsidRPr="008E64DE">
        <w:rPr>
          <w:lang w:val="lv-LV"/>
        </w:rPr>
        <w:t xml:space="preserve"> </w:t>
      </w:r>
      <w:hyperlink r:id="rId16" w:history="1">
        <w:r w:rsidRPr="00D410DA">
          <w:rPr>
            <w:rStyle w:val="Hyperlink"/>
            <w:lang w:val="lv-LV"/>
          </w:rPr>
          <w:t>https://www.publicmediaalliance.org/wp-content/uploads/2017/08/Funding-Public-Media-.pdf</w:t>
        </w:r>
      </w:hyperlink>
      <w:r>
        <w:rPr>
          <w:lang w:val="lv-LV"/>
        </w:rPr>
        <w:t xml:space="preserve"> </w:t>
      </w:r>
    </w:p>
  </w:footnote>
  <w:footnote w:id="21">
    <w:p w14:paraId="69BCB47D" w14:textId="48078D38" w:rsidR="00C848E1" w:rsidRPr="00D83FE0" w:rsidRDefault="00C848E1">
      <w:pPr>
        <w:pStyle w:val="FootnoteText"/>
        <w:rPr>
          <w:lang w:val="lv-LV"/>
        </w:rPr>
      </w:pPr>
      <w:r>
        <w:rPr>
          <w:rStyle w:val="FootnoteReference"/>
        </w:rPr>
        <w:footnoteRef/>
      </w:r>
      <w:r w:rsidRPr="00D83FE0">
        <w:rPr>
          <w:lang w:val="lv-LV"/>
        </w:rPr>
        <w:t xml:space="preserve"> </w:t>
      </w:r>
      <w:hyperlink r:id="rId17" w:history="1">
        <w:r w:rsidRPr="00D410DA">
          <w:rPr>
            <w:rStyle w:val="Hyperlink"/>
            <w:lang w:val="lv-LV"/>
          </w:rPr>
          <w:t>https://visegradinsight.eu/making-a-decisive-difference-public-media-latvia/</w:t>
        </w:r>
      </w:hyperlink>
      <w:r>
        <w:rPr>
          <w:lang w:val="lv-LV"/>
        </w:rPr>
        <w:t xml:space="preserve"> </w:t>
      </w:r>
    </w:p>
  </w:footnote>
  <w:footnote w:id="22">
    <w:p w14:paraId="437787BC" w14:textId="4442DD2E" w:rsidR="00C848E1" w:rsidRPr="00386882" w:rsidRDefault="00C848E1" w:rsidP="00C45DC9">
      <w:pPr>
        <w:pStyle w:val="FootnoteText"/>
        <w:rPr>
          <w:lang w:val="lv-LV"/>
        </w:rPr>
      </w:pPr>
      <w:r w:rsidRPr="00724BF1">
        <w:rPr>
          <w:rStyle w:val="FootnoteReference"/>
        </w:rPr>
        <w:footnoteRef/>
      </w:r>
      <w:r w:rsidRPr="00724BF1">
        <w:t xml:space="preserve"> </w:t>
      </w:r>
      <w:r>
        <w:t xml:space="preserve">Beitika I. Sabiedriskais medijs un sabiedriskais labums: Latvijas pieredzes analīze. Promocijas darbs, Rīga, 2015. Pieejams: </w:t>
      </w:r>
      <w:bookmarkStart w:id="8" w:name="_Hlk59543518"/>
      <w:r>
        <w:fldChar w:fldCharType="begin"/>
      </w:r>
      <w:r>
        <w:instrText xml:space="preserve"> HYPERLINK "</w:instrText>
      </w:r>
      <w:r w:rsidRPr="0020345C">
        <w:instrText>http://dspace.lu.lv/dspace/bitstream/handle/7/31329/298-51429-Beitika_Ieva_ib09320.pdf?sequence=1</w:instrText>
      </w:r>
      <w:r>
        <w:instrText xml:space="preserve">" </w:instrText>
      </w:r>
      <w:r>
        <w:fldChar w:fldCharType="separate"/>
      </w:r>
      <w:r w:rsidRPr="00F979A0">
        <w:rPr>
          <w:rStyle w:val="Hyperlink"/>
        </w:rPr>
        <w:t>http://dspace.lu.lv/dspace/bitstream/handle/7/31329/298-51429-Beitika_Ieva_ib09320.pdf?sequence=1</w:t>
      </w:r>
      <w:r>
        <w:fldChar w:fldCharType="end"/>
      </w:r>
      <w:r>
        <w:t xml:space="preserve"> </w:t>
      </w:r>
      <w:bookmarkEnd w:id="8"/>
    </w:p>
  </w:footnote>
  <w:footnote w:id="23">
    <w:p w14:paraId="5F26B6BF" w14:textId="2FD02398" w:rsidR="00C848E1" w:rsidRPr="007D0A6E" w:rsidRDefault="00C848E1" w:rsidP="00C45DC9">
      <w:pPr>
        <w:pStyle w:val="FootnoteText"/>
        <w:rPr>
          <w:lang w:val="lv-LV"/>
        </w:rPr>
      </w:pPr>
      <w:r>
        <w:rPr>
          <w:rStyle w:val="FootnoteReference"/>
        </w:rPr>
        <w:footnoteRef/>
      </w:r>
      <w:r w:rsidRPr="007D0A6E">
        <w:rPr>
          <w:lang w:val="lv-LV"/>
        </w:rPr>
        <w:t xml:space="preserve"> </w:t>
      </w:r>
      <w:hyperlink r:id="rId18" w:history="1">
        <w:r w:rsidRPr="00D410DA">
          <w:rPr>
            <w:rStyle w:val="Hyperlink"/>
            <w:lang w:val="lv-LV"/>
          </w:rPr>
          <w:t>https://www.neplpadome.lv/lv/sakums/padome/padomes-sedes/sedes-sadalas/neplp-sabiedrisko-mediju-iziesana-no-reklamas-tirgus-ir-nakama-gada-valsts-galvena-prioritate.html</w:t>
        </w:r>
      </w:hyperlink>
      <w:r>
        <w:rPr>
          <w:lang w:val="lv-LV"/>
        </w:rPr>
        <w:t xml:space="preserve"> </w:t>
      </w:r>
    </w:p>
  </w:footnote>
  <w:footnote w:id="24">
    <w:p w14:paraId="5AF003CD" w14:textId="05897768" w:rsidR="00C848E1" w:rsidRPr="00CC6790" w:rsidRDefault="00C848E1">
      <w:pPr>
        <w:pStyle w:val="FootnoteText"/>
        <w:rPr>
          <w:lang w:val="lv-LV"/>
        </w:rPr>
      </w:pPr>
      <w:r>
        <w:rPr>
          <w:rStyle w:val="FootnoteReference"/>
        </w:rPr>
        <w:footnoteRef/>
      </w:r>
      <w:r w:rsidRPr="00CC6790">
        <w:rPr>
          <w:lang w:val="lv-LV"/>
        </w:rPr>
        <w:t xml:space="preserve"> </w:t>
      </w:r>
      <w:hyperlink r:id="rId19" w:history="1">
        <w:r w:rsidRPr="00D410DA">
          <w:rPr>
            <w:rStyle w:val="Hyperlink"/>
            <w:lang w:val="lv-LV"/>
          </w:rPr>
          <w:t>https://visegradinsight.eu/making-a-decisive-difference-public-media-latvia/</w:t>
        </w:r>
      </w:hyperlink>
      <w:r>
        <w:rPr>
          <w:lang w:val="lv-LV"/>
        </w:rPr>
        <w:t xml:space="preserve"> </w:t>
      </w:r>
    </w:p>
  </w:footnote>
  <w:footnote w:id="25">
    <w:p w14:paraId="59DF180D" w14:textId="0709DF00" w:rsidR="00C848E1" w:rsidRPr="00C529F8" w:rsidRDefault="00C848E1">
      <w:pPr>
        <w:pStyle w:val="FootnoteText"/>
        <w:rPr>
          <w:lang w:val="lv-LV"/>
        </w:rPr>
      </w:pPr>
      <w:r>
        <w:rPr>
          <w:rStyle w:val="FootnoteReference"/>
        </w:rPr>
        <w:footnoteRef/>
      </w:r>
      <w:r w:rsidRPr="00C529F8">
        <w:rPr>
          <w:lang w:val="lv-LV"/>
        </w:rPr>
        <w:t xml:space="preserve"> </w:t>
      </w:r>
      <w:hyperlink r:id="rId20" w:history="1">
        <w:r w:rsidRPr="00D410DA">
          <w:rPr>
            <w:rStyle w:val="Hyperlink"/>
            <w:lang w:val="lv-LV"/>
          </w:rPr>
          <w:t>https://www.lsm.lv/raksts/zinas/latvija/jauno-sabiedrisko-mediju-likuma-piedavajumu-eksperti-verte-ka-kompromisu.a337111/</w:t>
        </w:r>
      </w:hyperlink>
      <w:r>
        <w:rPr>
          <w:lang w:val="lv-LV"/>
        </w:rPr>
        <w:t xml:space="preserve"> </w:t>
      </w:r>
    </w:p>
  </w:footnote>
  <w:footnote w:id="26">
    <w:p w14:paraId="237BDC14" w14:textId="6769D613" w:rsidR="00C848E1" w:rsidRPr="00513CD2" w:rsidRDefault="00C848E1" w:rsidP="00C45DC9">
      <w:pPr>
        <w:pStyle w:val="FootnoteText"/>
        <w:rPr>
          <w:lang w:val="lv-LV"/>
        </w:rPr>
      </w:pPr>
      <w:r>
        <w:rPr>
          <w:rStyle w:val="FootnoteReference"/>
        </w:rPr>
        <w:footnoteRef/>
      </w:r>
      <w:r w:rsidRPr="00513CD2">
        <w:rPr>
          <w:lang w:val="lv-LV"/>
        </w:rPr>
        <w:t xml:space="preserve"> </w:t>
      </w:r>
      <w:hyperlink r:id="rId21" w:history="1">
        <w:r w:rsidRPr="00D410DA">
          <w:rPr>
            <w:rStyle w:val="Hyperlink"/>
            <w:lang w:val="lv-LV"/>
          </w:rPr>
          <w:t>https://www.lsm.lv/raksts/zinas/latvija/mediju-eksperti-kritize-deputatu-lemumu-nemainit-sabiedrisko-mediju-finansesanas-modeli.a340036/</w:t>
        </w:r>
      </w:hyperlink>
    </w:p>
  </w:footnote>
  <w:footnote w:id="27">
    <w:p w14:paraId="3658D1CB" w14:textId="44F4B516" w:rsidR="00C848E1" w:rsidRPr="00E1792D" w:rsidRDefault="00C848E1">
      <w:pPr>
        <w:pStyle w:val="FootnoteText"/>
      </w:pPr>
      <w:r>
        <w:rPr>
          <w:rStyle w:val="FootnoteReference"/>
        </w:rPr>
        <w:footnoteRef/>
      </w:r>
      <w:r>
        <w:t xml:space="preserve"> Turpat</w:t>
      </w:r>
    </w:p>
  </w:footnote>
  <w:footnote w:id="28">
    <w:p w14:paraId="2D057806" w14:textId="31448490" w:rsidR="00C848E1" w:rsidRPr="007A31AE" w:rsidRDefault="00C848E1" w:rsidP="00C45DC9">
      <w:pPr>
        <w:pStyle w:val="FootnoteText"/>
        <w:rPr>
          <w:lang w:val="lv-LV"/>
        </w:rPr>
      </w:pPr>
      <w:r>
        <w:rPr>
          <w:rStyle w:val="FootnoteReference"/>
        </w:rPr>
        <w:footnoteRef/>
      </w:r>
      <w:r>
        <w:t xml:space="preserve"> </w:t>
      </w:r>
      <w:r>
        <w:rPr>
          <w:lang w:val="lv-LV"/>
        </w:rPr>
        <w:t xml:space="preserve">Funding Public Media: An insight into contemporary funding models. Public Media Alliance, 2019, p.14-19. Pieejams: </w:t>
      </w:r>
      <w:hyperlink r:id="rId22" w:history="1">
        <w:r w:rsidRPr="00D410DA">
          <w:rPr>
            <w:rStyle w:val="Hyperlink"/>
            <w:lang w:val="lv-LV"/>
          </w:rPr>
          <w:t>https://www.publicmediaalliance.org/wp-content/uploads/2017/08/Funding-Public-Media-.pdf</w:t>
        </w:r>
      </w:hyperlink>
      <w:r>
        <w:rPr>
          <w:lang w:val="lv-LV"/>
        </w:rPr>
        <w:t xml:space="preserve"> </w:t>
      </w:r>
    </w:p>
  </w:footnote>
  <w:footnote w:id="29">
    <w:p w14:paraId="6596FCA2" w14:textId="45D3A2AA" w:rsidR="00C848E1" w:rsidRPr="00A97EAA" w:rsidRDefault="00C848E1">
      <w:pPr>
        <w:pStyle w:val="FootnoteText"/>
        <w:rPr>
          <w:lang w:val="lv-LV"/>
        </w:rPr>
      </w:pPr>
      <w:r>
        <w:rPr>
          <w:rStyle w:val="FootnoteReference"/>
        </w:rPr>
        <w:footnoteRef/>
      </w:r>
      <w:r>
        <w:t xml:space="preserve"> </w:t>
      </w:r>
      <w:r>
        <w:rPr>
          <w:lang w:val="lv-LV"/>
        </w:rPr>
        <w:t xml:space="preserve">Satversmes tiesas sprieduma 23.punkts, pieejams: </w:t>
      </w:r>
      <w:hyperlink r:id="rId23" w:anchor="search=" w:history="1">
        <w:r w:rsidRPr="00D410DA">
          <w:rPr>
            <w:rStyle w:val="Hyperlink"/>
            <w:lang w:val="lv-LV"/>
          </w:rPr>
          <w:t>https://www.satv.tiesa.gov.lv/web/viewer.html?file=https://www.satv.tiesa.gov.lv/wp-content/uploads/2019/11/2019-29-01_Spriedums-1.pdf#search=</w:t>
        </w:r>
      </w:hyperlink>
      <w:r>
        <w:rPr>
          <w:lang w:val="lv-LV"/>
        </w:rPr>
        <w:t xml:space="preserve"> </w:t>
      </w:r>
    </w:p>
  </w:footnote>
  <w:footnote w:id="30">
    <w:p w14:paraId="40E17D3C" w14:textId="643BA03F" w:rsidR="00C848E1" w:rsidRPr="00EA6A97" w:rsidRDefault="00C848E1">
      <w:pPr>
        <w:pStyle w:val="FootnoteText"/>
        <w:rPr>
          <w:lang w:val="lv-LV"/>
        </w:rPr>
      </w:pPr>
      <w:r w:rsidRPr="002C7421">
        <w:rPr>
          <w:rStyle w:val="FootnoteReference"/>
        </w:rPr>
        <w:footnoteRef/>
      </w:r>
      <w:r w:rsidRPr="002C7421">
        <w:t xml:space="preserve"> </w:t>
      </w:r>
      <w:r>
        <w:rPr>
          <w:lang w:val="lv-LV"/>
        </w:rPr>
        <w:t xml:space="preserve">Beitika I. Sabiedriskais medijs un sabiedriskais labums: Latvijas pieredzes analīze. Promocijas darbs, Rīga, 2015. </w:t>
      </w:r>
      <w:hyperlink r:id="rId24" w:history="1">
        <w:r w:rsidRPr="00F979A0">
          <w:rPr>
            <w:rStyle w:val="Hyperlink"/>
          </w:rPr>
          <w:t>http://dspace.lu.lv/dspace/bitstream/handle/7/31329/298-51429-Beitika_Ieva_ib09320.pdf?sequence=1</w:t>
        </w:r>
      </w:hyperlink>
      <w:r>
        <w:t xml:space="preserve"> </w:t>
      </w:r>
    </w:p>
  </w:footnote>
  <w:footnote w:id="31">
    <w:p w14:paraId="2E5F524C" w14:textId="0222AF10" w:rsidR="00C848E1" w:rsidRPr="00CC6790" w:rsidRDefault="00C848E1">
      <w:pPr>
        <w:pStyle w:val="FootnoteText"/>
        <w:rPr>
          <w:lang w:val="lv-LV"/>
        </w:rPr>
      </w:pPr>
      <w:r>
        <w:rPr>
          <w:rStyle w:val="FootnoteReference"/>
        </w:rPr>
        <w:footnoteRef/>
      </w:r>
      <w:r w:rsidRPr="00CC6790">
        <w:rPr>
          <w:lang w:val="lv-LV"/>
        </w:rPr>
        <w:t xml:space="preserve"> </w:t>
      </w:r>
      <w:hyperlink r:id="rId25" w:history="1">
        <w:r w:rsidRPr="00D410DA">
          <w:rPr>
            <w:rStyle w:val="Hyperlink"/>
            <w:lang w:val="lv-LV"/>
          </w:rPr>
          <w:t>https://www.swissinfo.ch/eng/funding-and-debates_how-the-world-s-countries-provide-public-media-/43880294</w:t>
        </w:r>
      </w:hyperlink>
      <w:r>
        <w:rPr>
          <w:lang w:val="lv-LV"/>
        </w:rPr>
        <w:t xml:space="preserve"> </w:t>
      </w:r>
    </w:p>
  </w:footnote>
  <w:footnote w:id="32">
    <w:p w14:paraId="3B92F1EC" w14:textId="4D149625" w:rsidR="00C848E1" w:rsidRPr="00FF4507" w:rsidRDefault="00C848E1">
      <w:pPr>
        <w:pStyle w:val="FootnoteText"/>
        <w:rPr>
          <w:lang w:val="lv-LV"/>
        </w:rPr>
      </w:pPr>
      <w:r>
        <w:rPr>
          <w:rStyle w:val="FootnoteReference"/>
        </w:rPr>
        <w:footnoteRef/>
      </w:r>
      <w:r w:rsidRPr="00FF4507">
        <w:rPr>
          <w:lang w:val="lv-LV"/>
        </w:rPr>
        <w:t xml:space="preserve"> </w:t>
      </w:r>
      <w:hyperlink r:id="rId26" w:history="1">
        <w:r w:rsidRPr="00D410DA">
          <w:rPr>
            <w:rStyle w:val="Hyperlink"/>
            <w:lang w:val="lv-LV"/>
          </w:rPr>
          <w:t>https://www.lrt.lt/en/news-in-english/19/1137862/media-funding-law-changes-labelled-censorship-by-lithuania-s-opposition</w:t>
        </w:r>
      </w:hyperlink>
      <w:r>
        <w:rPr>
          <w:lang w:val="lv-LV"/>
        </w:rPr>
        <w:t xml:space="preserve"> </w:t>
      </w:r>
    </w:p>
  </w:footnote>
  <w:footnote w:id="33">
    <w:p w14:paraId="6B821527" w14:textId="5739E26D" w:rsidR="00C848E1" w:rsidRPr="00FF4507" w:rsidRDefault="00C848E1">
      <w:pPr>
        <w:pStyle w:val="FootnoteText"/>
        <w:rPr>
          <w:lang w:val="lv-LV"/>
        </w:rPr>
      </w:pPr>
      <w:r>
        <w:rPr>
          <w:rStyle w:val="FootnoteReference"/>
        </w:rPr>
        <w:footnoteRef/>
      </w:r>
      <w:r w:rsidRPr="00FF4507">
        <w:rPr>
          <w:lang w:val="lv-LV"/>
        </w:rPr>
        <w:t xml:space="preserve"> </w:t>
      </w:r>
      <w:hyperlink r:id="rId27" w:history="1">
        <w:r w:rsidRPr="00D410DA">
          <w:rPr>
            <w:rStyle w:val="Hyperlink"/>
            <w:lang w:val="lv-LV"/>
          </w:rPr>
          <w:t>https://baltics.news/2020/11/04/in-lithuania-it-is-legal-to-attract-public-media-funding-to-tax-revenues/</w:t>
        </w:r>
      </w:hyperlink>
      <w:r>
        <w:rPr>
          <w:lang w:val="lv-LV"/>
        </w:rPr>
        <w:t xml:space="preserve"> </w:t>
      </w:r>
    </w:p>
  </w:footnote>
  <w:footnote w:id="34">
    <w:p w14:paraId="0381E699" w14:textId="017FE745" w:rsidR="00C848E1" w:rsidRPr="00A03C2F" w:rsidRDefault="00C848E1">
      <w:pPr>
        <w:pStyle w:val="FootnoteText"/>
        <w:rPr>
          <w:lang w:val="lv-LV"/>
        </w:rPr>
      </w:pPr>
      <w:r>
        <w:rPr>
          <w:rStyle w:val="FootnoteReference"/>
        </w:rPr>
        <w:footnoteRef/>
      </w:r>
      <w:r w:rsidRPr="00A03C2F">
        <w:rPr>
          <w:lang w:val="lv-LV"/>
        </w:rPr>
        <w:t xml:space="preserve"> </w:t>
      </w:r>
      <w:r>
        <w:rPr>
          <w:lang w:val="lv-LV"/>
        </w:rPr>
        <w:t xml:space="preserve">Turpat </w:t>
      </w:r>
    </w:p>
  </w:footnote>
  <w:footnote w:id="35">
    <w:p w14:paraId="097C6C20" w14:textId="7D03648B" w:rsidR="00C848E1" w:rsidRPr="006F7DBE" w:rsidRDefault="00C848E1">
      <w:pPr>
        <w:pStyle w:val="FootnoteText"/>
        <w:rPr>
          <w:lang w:val="lv-LV"/>
        </w:rPr>
      </w:pPr>
      <w:r>
        <w:rPr>
          <w:rStyle w:val="FootnoteReference"/>
        </w:rPr>
        <w:footnoteRef/>
      </w:r>
      <w:r w:rsidRPr="006F7DBE">
        <w:rPr>
          <w:lang w:val="lv-LV"/>
        </w:rPr>
        <w:t xml:space="preserve"> </w:t>
      </w:r>
      <w:hyperlink r:id="rId28" w:history="1">
        <w:r w:rsidRPr="00D410DA">
          <w:rPr>
            <w:rStyle w:val="Hyperlink"/>
            <w:lang w:val="lv-LV"/>
          </w:rPr>
          <w:t>https://www.bti-project.org/en/press.html</w:t>
        </w:r>
      </w:hyperlink>
      <w:r>
        <w:rPr>
          <w:lang w:val="lv-LV"/>
        </w:rPr>
        <w:t xml:space="preserve"> </w:t>
      </w:r>
    </w:p>
  </w:footnote>
  <w:footnote w:id="36">
    <w:p w14:paraId="7A43BD9C" w14:textId="5600C8EA" w:rsidR="00C848E1" w:rsidRPr="000A0367" w:rsidRDefault="00C848E1">
      <w:pPr>
        <w:pStyle w:val="FootnoteText"/>
        <w:rPr>
          <w:lang w:val="lv-LV"/>
        </w:rPr>
      </w:pPr>
      <w:r>
        <w:rPr>
          <w:rStyle w:val="FootnoteReference"/>
        </w:rPr>
        <w:footnoteRef/>
      </w:r>
      <w:r w:rsidRPr="000A0367">
        <w:rPr>
          <w:lang w:val="lv-LV"/>
        </w:rPr>
        <w:t xml:space="preserve"> </w:t>
      </w:r>
      <w:hyperlink r:id="rId29" w:history="1">
        <w:r w:rsidRPr="00D410DA">
          <w:rPr>
            <w:rStyle w:val="Hyperlink"/>
            <w:lang w:val="lv-LV"/>
          </w:rPr>
          <w:t>https://rsf.org/en/2020-world-press-freedom-index-entering-decisive-decade-journalism-exacerbated-coronavirus</w:t>
        </w:r>
      </w:hyperlink>
      <w:r>
        <w:rPr>
          <w:lang w:val="lv-LV"/>
        </w:rPr>
        <w:t xml:space="preserve"> </w:t>
      </w:r>
    </w:p>
  </w:footnote>
  <w:footnote w:id="37">
    <w:p w14:paraId="091E1944" w14:textId="69BC6AB7" w:rsidR="00C848E1" w:rsidRPr="0098742E" w:rsidRDefault="00C848E1">
      <w:pPr>
        <w:pStyle w:val="FootnoteText"/>
        <w:rPr>
          <w:lang w:val="lv-LV"/>
        </w:rPr>
      </w:pPr>
      <w:r>
        <w:rPr>
          <w:rStyle w:val="FootnoteReference"/>
        </w:rPr>
        <w:footnoteRef/>
      </w:r>
      <w:r w:rsidRPr="0098742E">
        <w:rPr>
          <w:lang w:val="lv-LV"/>
        </w:rPr>
        <w:t xml:space="preserve"> </w:t>
      </w:r>
      <w:hyperlink r:id="rId30" w:history="1">
        <w:r w:rsidRPr="00D410DA">
          <w:rPr>
            <w:rStyle w:val="Hyperlink"/>
            <w:lang w:val="lv-LV"/>
          </w:rPr>
          <w:t>https://www.thelocal.de/20190327/understanding-germanys-tv-licence-system</w:t>
        </w:r>
      </w:hyperlink>
      <w:r>
        <w:rPr>
          <w:lang w:val="lv-LV"/>
        </w:rPr>
        <w:t xml:space="preserve"> </w:t>
      </w:r>
    </w:p>
  </w:footnote>
  <w:footnote w:id="38">
    <w:p w14:paraId="66F3479F" w14:textId="22E23E81" w:rsidR="00C848E1" w:rsidRPr="00BE5904" w:rsidRDefault="00C848E1">
      <w:pPr>
        <w:pStyle w:val="FootnoteText"/>
        <w:rPr>
          <w:lang w:val="lv-LV"/>
        </w:rPr>
      </w:pPr>
      <w:r>
        <w:rPr>
          <w:rStyle w:val="FootnoteReference"/>
        </w:rPr>
        <w:footnoteRef/>
      </w:r>
      <w:r w:rsidRPr="00BE5904">
        <w:rPr>
          <w:lang w:val="lv-LV"/>
        </w:rPr>
        <w:t xml:space="preserve"> </w:t>
      </w:r>
      <w:hyperlink r:id="rId31" w:history="1">
        <w:r w:rsidRPr="00D410DA">
          <w:rPr>
            <w:rStyle w:val="Hyperlink"/>
            <w:lang w:val="lv-LV"/>
          </w:rPr>
          <w:t>https://www.coya.com/expats-in-germany/tv-tax-germany</w:t>
        </w:r>
      </w:hyperlink>
      <w:r>
        <w:rPr>
          <w:lang w:val="lv-LV"/>
        </w:rPr>
        <w:t xml:space="preserve"> </w:t>
      </w:r>
    </w:p>
  </w:footnote>
  <w:footnote w:id="39">
    <w:p w14:paraId="7FB8A437" w14:textId="4C0F224E" w:rsidR="00C848E1" w:rsidRPr="00B20BBC" w:rsidRDefault="00C848E1">
      <w:pPr>
        <w:pStyle w:val="FootnoteText"/>
        <w:rPr>
          <w:lang w:val="lv-LV"/>
        </w:rPr>
      </w:pPr>
      <w:r>
        <w:rPr>
          <w:rStyle w:val="FootnoteReference"/>
        </w:rPr>
        <w:footnoteRef/>
      </w:r>
      <w:r w:rsidRPr="00B20BBC">
        <w:rPr>
          <w:lang w:val="lv-LV"/>
        </w:rPr>
        <w:t xml:space="preserve"> </w:t>
      </w:r>
      <w:hyperlink r:id="rId32" w:history="1">
        <w:r w:rsidRPr="00D410DA">
          <w:rPr>
            <w:rStyle w:val="Hyperlink"/>
            <w:lang w:val="lv-LV"/>
          </w:rPr>
          <w:t>https://www.rundfunkbeitrag.de/welcome/englisch/index_ger.html</w:t>
        </w:r>
      </w:hyperlink>
      <w:r>
        <w:rPr>
          <w:lang w:val="lv-LV"/>
        </w:rPr>
        <w:t xml:space="preserve"> </w:t>
      </w:r>
    </w:p>
  </w:footnote>
  <w:footnote w:id="40">
    <w:p w14:paraId="5A7783E5" w14:textId="3CE506F3" w:rsidR="00C848E1" w:rsidRPr="00DF14C6" w:rsidRDefault="00C848E1">
      <w:pPr>
        <w:pStyle w:val="FootnoteText"/>
        <w:rPr>
          <w:lang w:val="lv-LV"/>
        </w:rPr>
      </w:pPr>
      <w:r>
        <w:rPr>
          <w:rStyle w:val="FootnoteReference"/>
        </w:rPr>
        <w:footnoteRef/>
      </w:r>
      <w:r w:rsidRPr="00DF14C6">
        <w:rPr>
          <w:lang w:val="lv-LV"/>
        </w:rPr>
        <w:t xml:space="preserve"> </w:t>
      </w:r>
      <w:hyperlink r:id="rId33" w:history="1">
        <w:r w:rsidRPr="00D410DA">
          <w:rPr>
            <w:rStyle w:val="Hyperlink"/>
            <w:lang w:val="lv-LV"/>
          </w:rPr>
          <w:t>https://www.publicmediaalliance.org/changing-times-for-public-media-funding/</w:t>
        </w:r>
      </w:hyperlink>
      <w:r>
        <w:rPr>
          <w:lang w:val="lv-LV"/>
        </w:rPr>
        <w:t xml:space="preserve"> </w:t>
      </w:r>
    </w:p>
  </w:footnote>
  <w:footnote w:id="41">
    <w:p w14:paraId="6B708788" w14:textId="18FFA3AA" w:rsidR="00C848E1" w:rsidRPr="00483213" w:rsidRDefault="00C848E1">
      <w:pPr>
        <w:pStyle w:val="FootnoteText"/>
        <w:rPr>
          <w:lang w:val="lv-LV"/>
        </w:rPr>
      </w:pPr>
      <w:r>
        <w:rPr>
          <w:rStyle w:val="FootnoteReference"/>
        </w:rPr>
        <w:footnoteRef/>
      </w:r>
      <w:r w:rsidRPr="00483213">
        <w:rPr>
          <w:lang w:val="lv-LV"/>
        </w:rPr>
        <w:t xml:space="preserve"> </w:t>
      </w:r>
      <w:r>
        <w:rPr>
          <w:lang w:val="lv-LV"/>
        </w:rPr>
        <w:t>Turpat</w:t>
      </w:r>
    </w:p>
  </w:footnote>
  <w:footnote w:id="42">
    <w:p w14:paraId="75E736A2" w14:textId="68B701F0" w:rsidR="00C848E1" w:rsidRPr="006F569A" w:rsidRDefault="00C848E1" w:rsidP="006F569A">
      <w:pPr>
        <w:pStyle w:val="NormalWeb"/>
        <w:spacing w:after="0"/>
        <w:rPr>
          <w:rFonts w:asciiTheme="majorHAnsi" w:eastAsia="Times New Roman" w:hAnsiTheme="majorHAnsi"/>
          <w:sz w:val="20"/>
          <w:szCs w:val="20"/>
          <w:lang w:val="lv-LV" w:eastAsia="en-GB"/>
        </w:rPr>
      </w:pPr>
      <w:r w:rsidRPr="00B5488F">
        <w:rPr>
          <w:rStyle w:val="FootnoteReference"/>
          <w:rFonts w:asciiTheme="majorHAnsi" w:hAnsiTheme="majorHAnsi"/>
          <w:sz w:val="20"/>
          <w:szCs w:val="20"/>
        </w:rPr>
        <w:footnoteRef/>
      </w:r>
      <w:r w:rsidRPr="00B5488F">
        <w:rPr>
          <w:rFonts w:asciiTheme="majorHAnsi" w:hAnsiTheme="majorHAnsi"/>
          <w:sz w:val="20"/>
          <w:szCs w:val="20"/>
          <w:lang w:val="lv-LV"/>
        </w:rPr>
        <w:t xml:space="preserve"> </w:t>
      </w:r>
      <w:hyperlink r:id="rId34" w:history="1">
        <w:r w:rsidRPr="00B5488F">
          <w:rPr>
            <w:rFonts w:asciiTheme="majorHAnsi" w:eastAsia="Georgia" w:hAnsiTheme="majorHAnsi" w:cs="Georgia"/>
            <w:color w:val="602320" w:themeColor="hyperlink"/>
            <w:sz w:val="20"/>
            <w:szCs w:val="20"/>
            <w:u w:val="single"/>
            <w:lang w:val="lv-LV" w:eastAsia="en-GB"/>
          </w:rPr>
          <w:t>https://www.pwc.com/gx/en/about/assets/ec-proposals-digital-taxation.pdf</w:t>
        </w:r>
      </w:hyperlink>
    </w:p>
  </w:footnote>
  <w:footnote w:id="43">
    <w:p w14:paraId="641EE5CE" w14:textId="77777777" w:rsidR="00C848E1" w:rsidRPr="006F569A" w:rsidRDefault="00C848E1" w:rsidP="006F569A">
      <w:pPr>
        <w:pStyle w:val="FootnoteText"/>
        <w:rPr>
          <w:lang w:val="lv-LV"/>
        </w:rPr>
      </w:pPr>
      <w:r>
        <w:rPr>
          <w:rStyle w:val="FootnoteReference"/>
        </w:rPr>
        <w:footnoteRef/>
      </w:r>
      <w:r w:rsidRPr="006F569A">
        <w:rPr>
          <w:lang w:val="lv-LV"/>
        </w:rPr>
        <w:t xml:space="preserve"> </w:t>
      </w:r>
      <w:hyperlink r:id="rId35" w:history="1">
        <w:r w:rsidRPr="006F569A">
          <w:rPr>
            <w:rStyle w:val="Hyperlink"/>
            <w:lang w:val="lv-LV"/>
          </w:rPr>
          <w:t>https://www.km.gov.lv/uploads/ckeditor/files/mediju_politika/petijumi/digitalais%20nodoklis/2019-12-18%20Atzinums.pdf</w:t>
        </w:r>
      </w:hyperlink>
      <w:r w:rsidRPr="006F569A">
        <w:rPr>
          <w:lang w:val="lv-LV"/>
        </w:rPr>
        <w:t xml:space="preserve"> </w:t>
      </w:r>
    </w:p>
    <w:p w14:paraId="63035FA0" w14:textId="1062F7B1" w:rsidR="00C848E1" w:rsidRPr="006F569A" w:rsidRDefault="00C848E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248"/>
      <w:tblOverlap w:val="never"/>
      <w:tblW w:w="5000" w:type="pct"/>
      <w:tblBorders>
        <w:top w:val="single" w:sz="6" w:space="0" w:color="602320" w:themeColor="text2"/>
        <w:left w:val="single" w:sz="6" w:space="0" w:color="6023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C848E1" w14:paraId="3B52D700" w14:textId="77777777">
      <w:trPr>
        <w:trHeight w:hRule="exact" w:val="227"/>
      </w:trPr>
      <w:tc>
        <w:tcPr>
          <w:tcW w:w="5000" w:type="pct"/>
        </w:tcPr>
        <w:p w14:paraId="63E09F79" w14:textId="77777777" w:rsidR="00C848E1" w:rsidRDefault="00C848E1">
          <w:pPr>
            <w:rPr>
              <w:sz w:val="14"/>
              <w:szCs w:val="14"/>
            </w:rPr>
          </w:pPr>
        </w:p>
      </w:tc>
    </w:tr>
  </w:tbl>
  <w:p w14:paraId="740EE002" w14:textId="77777777" w:rsidR="00C848E1" w:rsidRDefault="00C848E1">
    <w:pPr>
      <w:pStyle w:val="Header"/>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248"/>
      <w:tblOverlap w:val="never"/>
      <w:tblW w:w="5000" w:type="pct"/>
      <w:tblBorders>
        <w:top w:val="single" w:sz="6" w:space="0" w:color="602320" w:themeColor="text2"/>
        <w:left w:val="single" w:sz="6" w:space="0" w:color="6023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C848E1" w14:paraId="1615E382" w14:textId="77777777">
      <w:trPr>
        <w:trHeight w:hRule="exact" w:val="227"/>
      </w:trPr>
      <w:tc>
        <w:tcPr>
          <w:tcW w:w="5000" w:type="pct"/>
        </w:tcPr>
        <w:p w14:paraId="1F478715" w14:textId="77777777" w:rsidR="00C848E1" w:rsidRDefault="00C848E1">
          <w:pPr>
            <w:rPr>
              <w:sz w:val="14"/>
              <w:szCs w:val="14"/>
            </w:rPr>
          </w:pPr>
        </w:p>
      </w:tc>
    </w:tr>
  </w:tbl>
  <w:p w14:paraId="60C5B283" w14:textId="77777777" w:rsidR="00C848E1" w:rsidRDefault="00C848E1">
    <w:pPr>
      <w:pStyle w:val="Header"/>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7F3B" w14:textId="77777777" w:rsidR="00C848E1" w:rsidRDefault="00C848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A7FE" w14:textId="77777777" w:rsidR="00C848E1" w:rsidRDefault="00C84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margin" w:tblpY="1248"/>
      <w:tblOverlap w:val="never"/>
      <w:tblW w:w="5000" w:type="pct"/>
      <w:tblBorders>
        <w:top w:val="single" w:sz="6" w:space="0" w:color="602320" w:themeColor="text2"/>
        <w:left w:val="single" w:sz="6" w:space="0" w:color="60232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091"/>
    </w:tblGrid>
    <w:tr w:rsidR="00C848E1" w14:paraId="7DDCA3E8" w14:textId="77777777">
      <w:trPr>
        <w:trHeight w:hRule="exact" w:val="227"/>
      </w:trPr>
      <w:tc>
        <w:tcPr>
          <w:tcW w:w="5000" w:type="pct"/>
        </w:tcPr>
        <w:p w14:paraId="3C3FFD13" w14:textId="77777777" w:rsidR="00C848E1" w:rsidRDefault="00C848E1">
          <w:pPr>
            <w:rPr>
              <w:sz w:val="14"/>
              <w:szCs w:val="14"/>
            </w:rPr>
          </w:pPr>
          <w:r>
            <w:rPr>
              <w:noProof/>
              <w:sz w:val="14"/>
              <w:szCs w:val="14"/>
              <w:lang w:val="en-US"/>
            </w:rPr>
            <w:drawing>
              <wp:anchor distT="0" distB="0" distL="114300" distR="114300" simplePos="0" relativeHeight="251658240" behindDoc="0" locked="0" layoutInCell="1" allowOverlap="1" wp14:anchorId="3AE19F2F" wp14:editId="7CA4ACEE">
                <wp:simplePos x="0" y="0"/>
                <wp:positionH relativeFrom="column">
                  <wp:align>center</wp:align>
                </wp:positionH>
                <wp:positionV relativeFrom="paragraph">
                  <wp:posOffset>2540000</wp:posOffset>
                </wp:positionV>
                <wp:extent cx="194310" cy="144145"/>
                <wp:effectExtent l="0" t="0" r="0" b="8255"/>
                <wp:wrapNone/>
                <wp:docPr id="9" name="securityTagWaterMark"/>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 cy="144145"/>
                        </a:xfrm>
                        <a:prstGeom prst="rect">
                          <a:avLst/>
                        </a:prstGeom>
                      </pic:spPr>
                    </pic:pic>
                  </a:graphicData>
                </a:graphic>
              </wp:anchor>
            </w:drawing>
          </w:r>
        </w:p>
      </w:tc>
    </w:tr>
  </w:tbl>
  <w:p w14:paraId="1488EB9A" w14:textId="77777777" w:rsidR="00C848E1" w:rsidRDefault="00C848E1">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7F7"/>
    <w:multiLevelType w:val="hybridMultilevel"/>
    <w:tmpl w:val="F2C03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430D1"/>
    <w:multiLevelType w:val="hybridMultilevel"/>
    <w:tmpl w:val="4E9636FE"/>
    <w:lvl w:ilvl="0" w:tplc="F7E000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D639E"/>
    <w:multiLevelType w:val="multilevel"/>
    <w:tmpl w:val="EDC06F7C"/>
    <w:lvl w:ilvl="0">
      <w:start w:val="1"/>
      <w:numFmt w:val="decimal"/>
      <w:lvlText w:val="%1."/>
      <w:lvlJc w:val="left"/>
      <w:pPr>
        <w:ind w:left="360" w:hanging="360"/>
      </w:pPr>
      <w:rPr>
        <w:b w:val="0"/>
        <w:bCs w:val="0"/>
        <w:i/>
        <w:iCs/>
        <w:color w:val="E0301E" w:themeColor="accent4"/>
        <w:sz w:val="32"/>
        <w:szCs w:val="32"/>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B7FE1"/>
    <w:multiLevelType w:val="hybridMultilevel"/>
    <w:tmpl w:val="00147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C9C7340"/>
    <w:multiLevelType w:val="hybridMultilevel"/>
    <w:tmpl w:val="33246CA0"/>
    <w:lvl w:ilvl="0" w:tplc="CCD45E7C">
      <w:start w:val="1"/>
      <w:numFmt w:val="decimal"/>
      <w:lvlText w:val="%1)"/>
      <w:lvlJc w:val="left"/>
      <w:pPr>
        <w:ind w:left="773" w:hanging="360"/>
      </w:pPr>
      <w:rPr>
        <w:rFonts w:hint="default"/>
        <w:color w:val="E0301E" w:themeColor="accent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A5D3F"/>
    <w:multiLevelType w:val="multilevel"/>
    <w:tmpl w:val="EA0EA654"/>
    <w:lvl w:ilvl="0">
      <w:start w:val="1"/>
      <w:numFmt w:val="decimal"/>
      <w:lvlText w:val="%1."/>
      <w:lvlJc w:val="left"/>
      <w:pPr>
        <w:ind w:left="360" w:hanging="360"/>
      </w:pPr>
      <w:rPr>
        <w:b w:val="0"/>
        <w:bCs w:val="0"/>
        <w:i/>
        <w:iCs/>
        <w:color w:val="E0301E" w:themeColor="accent4"/>
        <w:sz w:val="32"/>
        <w:szCs w:val="32"/>
      </w:rPr>
    </w:lvl>
    <w:lvl w:ilvl="1">
      <w:start w:val="1"/>
      <w:numFmt w:val="bullet"/>
      <w:lvlText w:val=""/>
      <w:lvlJc w:val="left"/>
      <w:pPr>
        <w:ind w:left="792" w:hanging="432"/>
      </w:pPr>
      <w:rPr>
        <w:rFonts w:ascii="Symbol" w:hAnsi="Symbol" w:hint="default"/>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B62ECD"/>
    <w:multiLevelType w:val="hybridMultilevel"/>
    <w:tmpl w:val="5C14C704"/>
    <w:lvl w:ilvl="0" w:tplc="5EA20606">
      <w:start w:val="1"/>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6849C4"/>
    <w:multiLevelType w:val="multilevel"/>
    <w:tmpl w:val="CD4C98AE"/>
    <w:name w:val="PwCListBullets12"/>
    <w:numStyleLink w:val="PwCListBullets1"/>
  </w:abstractNum>
  <w:abstractNum w:abstractNumId="9" w15:restartNumberingAfterBreak="0">
    <w:nsid w:val="18C035C6"/>
    <w:multiLevelType w:val="multilevel"/>
    <w:tmpl w:val="6598E29A"/>
    <w:lvl w:ilvl="0">
      <w:start w:val="1"/>
      <w:numFmt w:val="decimal"/>
      <w:lvlText w:val="%1."/>
      <w:lvlJc w:val="left"/>
      <w:pPr>
        <w:ind w:left="360" w:hanging="360"/>
      </w:pPr>
      <w:rPr>
        <w:b w:val="0"/>
        <w:bCs w:val="0"/>
        <w:i/>
        <w:iCs/>
        <w:color w:val="E0301E" w:themeColor="accent4"/>
        <w:sz w:val="32"/>
        <w:szCs w:val="3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047F0"/>
    <w:multiLevelType w:val="hybridMultilevel"/>
    <w:tmpl w:val="FD8A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49F5"/>
    <w:multiLevelType w:val="multilevel"/>
    <w:tmpl w:val="EE3860A0"/>
    <w:name w:val="PwCListNumbers12"/>
    <w:numStyleLink w:val="PwCListNumbers1"/>
  </w:abstractNum>
  <w:abstractNum w:abstractNumId="12" w15:restartNumberingAfterBreak="0">
    <w:nsid w:val="1E8A59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8E6E5E"/>
    <w:multiLevelType w:val="hybridMultilevel"/>
    <w:tmpl w:val="CFC8D9B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1F390A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517275"/>
    <w:multiLevelType w:val="hybridMultilevel"/>
    <w:tmpl w:val="7122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D08EA"/>
    <w:multiLevelType w:val="hybridMultilevel"/>
    <w:tmpl w:val="CE6207A6"/>
    <w:lvl w:ilvl="0" w:tplc="0FDE0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05486"/>
    <w:multiLevelType w:val="multilevel"/>
    <w:tmpl w:val="CD4C98AE"/>
    <w:numStyleLink w:val="PwCListBullets1"/>
  </w:abstractNum>
  <w:abstractNum w:abstractNumId="18" w15:restartNumberingAfterBreak="0">
    <w:nsid w:val="30D17240"/>
    <w:multiLevelType w:val="hybridMultilevel"/>
    <w:tmpl w:val="94F638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811F4A"/>
    <w:multiLevelType w:val="hybridMultilevel"/>
    <w:tmpl w:val="39ACF1C4"/>
    <w:lvl w:ilvl="0" w:tplc="5BB0FF0C">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36BA3293"/>
    <w:multiLevelType w:val="hybridMultilevel"/>
    <w:tmpl w:val="EE3034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6BB8F00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82FBD"/>
    <w:multiLevelType w:val="multilevel"/>
    <w:tmpl w:val="39E8D3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57486E"/>
    <w:multiLevelType w:val="multilevel"/>
    <w:tmpl w:val="EE3860A0"/>
    <w:name w:val="PwCListNumbers13"/>
    <w:numStyleLink w:val="PwCListNumbers1"/>
  </w:abstractNum>
  <w:abstractNum w:abstractNumId="23" w15:restartNumberingAfterBreak="0">
    <w:nsid w:val="403F759F"/>
    <w:multiLevelType w:val="multilevel"/>
    <w:tmpl w:val="DB004D96"/>
    <w:lvl w:ilvl="0">
      <w:start w:val="1"/>
      <w:numFmt w:val="decimal"/>
      <w:lvlText w:val="%1."/>
      <w:lvlJc w:val="left"/>
      <w:pPr>
        <w:ind w:left="360" w:hanging="360"/>
      </w:pPr>
      <w:rPr>
        <w:b w:val="0"/>
        <w:bCs w:val="0"/>
        <w:i/>
        <w:iCs/>
        <w:color w:val="E0301E" w:themeColor="accent4"/>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553E7A"/>
    <w:multiLevelType w:val="hybridMultilevel"/>
    <w:tmpl w:val="3664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C35C0"/>
    <w:multiLevelType w:val="hybridMultilevel"/>
    <w:tmpl w:val="9100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B233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437560"/>
    <w:multiLevelType w:val="hybridMultilevel"/>
    <w:tmpl w:val="44E466CE"/>
    <w:lvl w:ilvl="0" w:tplc="8A8C9DD8">
      <w:start w:val="1"/>
      <w:numFmt w:val="bullet"/>
      <w:lvlText w:val="o"/>
      <w:lvlJc w:val="left"/>
      <w:pPr>
        <w:ind w:left="1887" w:hanging="360"/>
      </w:pPr>
      <w:rPr>
        <w:rFonts w:ascii="Courier New" w:hAnsi="Courier New" w:cs="Courier New" w:hint="default"/>
        <w:sz w:val="16"/>
        <w:szCs w:val="16"/>
      </w:rPr>
    </w:lvl>
    <w:lvl w:ilvl="1" w:tplc="08090003">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28" w15:restartNumberingAfterBreak="0">
    <w:nsid w:val="45977B08"/>
    <w:multiLevelType w:val="multilevel"/>
    <w:tmpl w:val="B65EECB2"/>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bCs w:val="0"/>
        <w:i w:val="0"/>
        <w:iCs/>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E3136"/>
    <w:multiLevelType w:val="multilevel"/>
    <w:tmpl w:val="06EE5C5A"/>
    <w:lvl w:ilvl="0">
      <w:start w:val="1"/>
      <w:numFmt w:val="decimal"/>
      <w:lvlText w:val="%1."/>
      <w:lvlJc w:val="left"/>
      <w:pPr>
        <w:ind w:left="360" w:hanging="360"/>
      </w:pPr>
      <w:rPr>
        <w:rFonts w:cs="Times New Roman"/>
        <w:b/>
      </w:rPr>
    </w:lvl>
    <w:lvl w:ilvl="1">
      <w:start w:val="1"/>
      <w:numFmt w:val="decimal"/>
      <w:lvlText w:val="%1.%2."/>
      <w:lvlJc w:val="left"/>
      <w:pPr>
        <w:ind w:left="4685" w:hanging="432"/>
      </w:pPr>
      <w:rPr>
        <w:rFonts w:cs="Times New Roman"/>
        <w:b w:val="0"/>
        <w:i w:val="0"/>
        <w:sz w:val="22"/>
        <w:szCs w:val="22"/>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0" w15:restartNumberingAfterBreak="0">
    <w:nsid w:val="4FFB0E3B"/>
    <w:multiLevelType w:val="hybridMultilevel"/>
    <w:tmpl w:val="4A9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60753"/>
    <w:multiLevelType w:val="multilevel"/>
    <w:tmpl w:val="1EDE6A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7B5CC6"/>
    <w:multiLevelType w:val="hybridMultilevel"/>
    <w:tmpl w:val="9AB830F0"/>
    <w:lvl w:ilvl="0" w:tplc="D27EA78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7F4201"/>
    <w:multiLevelType w:val="hybridMultilevel"/>
    <w:tmpl w:val="36F83162"/>
    <w:lvl w:ilvl="0" w:tplc="0B4CB748">
      <w:start w:val="1"/>
      <w:numFmt w:val="decimal"/>
      <w:lvlText w:val="%1)"/>
      <w:lvlJc w:val="left"/>
      <w:pPr>
        <w:ind w:left="773" w:hanging="360"/>
      </w:pPr>
      <w:rPr>
        <w:rFonts w:hint="default"/>
        <w:color w:val="E0301E" w:themeColor="accent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14BD3"/>
    <w:multiLevelType w:val="multilevel"/>
    <w:tmpl w:val="6598E29A"/>
    <w:lvl w:ilvl="0">
      <w:start w:val="1"/>
      <w:numFmt w:val="decimal"/>
      <w:lvlText w:val="%1."/>
      <w:lvlJc w:val="left"/>
      <w:pPr>
        <w:ind w:left="360" w:hanging="360"/>
      </w:pPr>
      <w:rPr>
        <w:b w:val="0"/>
        <w:bCs w:val="0"/>
        <w:i/>
        <w:iCs/>
        <w:color w:val="E0301E" w:themeColor="accent4"/>
        <w:sz w:val="32"/>
        <w:szCs w:val="3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806BB4"/>
    <w:multiLevelType w:val="hybridMultilevel"/>
    <w:tmpl w:val="359637FC"/>
    <w:lvl w:ilvl="0" w:tplc="64E2B1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C3381"/>
    <w:multiLevelType w:val="hybridMultilevel"/>
    <w:tmpl w:val="50DA2B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4B9278F"/>
    <w:multiLevelType w:val="hybridMultilevel"/>
    <w:tmpl w:val="9B8E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65C28"/>
    <w:multiLevelType w:val="hybridMultilevel"/>
    <w:tmpl w:val="7812D0B0"/>
    <w:lvl w:ilvl="0" w:tplc="F7E00056">
      <w:start w:val="1"/>
      <w:numFmt w:val="decimal"/>
      <w:lvlText w:val="%1)"/>
      <w:lvlJc w:val="left"/>
      <w:pPr>
        <w:ind w:left="773" w:hanging="360"/>
      </w:pPr>
      <w:rPr>
        <w:rFonts w:hint="default"/>
        <w:sz w:val="20"/>
        <w:szCs w:val="20"/>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0" w15:restartNumberingAfterBreak="0">
    <w:nsid w:val="7F650D32"/>
    <w:multiLevelType w:val="multilevel"/>
    <w:tmpl w:val="6598E29A"/>
    <w:lvl w:ilvl="0">
      <w:start w:val="1"/>
      <w:numFmt w:val="decimal"/>
      <w:lvlText w:val="%1."/>
      <w:lvlJc w:val="left"/>
      <w:pPr>
        <w:ind w:left="360" w:hanging="360"/>
      </w:pPr>
      <w:rPr>
        <w:b w:val="0"/>
        <w:bCs w:val="0"/>
        <w:i/>
        <w:iCs/>
        <w:color w:val="E0301E" w:themeColor="accent4"/>
        <w:sz w:val="32"/>
        <w:szCs w:val="3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4"/>
  </w:num>
  <w:num w:numId="3">
    <w:abstractNumId w:val="22"/>
  </w:num>
  <w:num w:numId="4">
    <w:abstractNumId w:val="17"/>
  </w:num>
  <w:num w:numId="5">
    <w:abstractNumId w:val="31"/>
  </w:num>
  <w:num w:numId="6">
    <w:abstractNumId w:val="28"/>
  </w:num>
  <w:num w:numId="7">
    <w:abstractNumId w:val="12"/>
  </w:num>
  <w:num w:numId="8">
    <w:abstractNumId w:val="27"/>
  </w:num>
  <w:num w:numId="9">
    <w:abstractNumId w:val="1"/>
  </w:num>
  <w:num w:numId="10">
    <w:abstractNumId w:val="39"/>
  </w:num>
  <w:num w:numId="11">
    <w:abstractNumId w:val="10"/>
  </w:num>
  <w:num w:numId="12">
    <w:abstractNumId w:val="20"/>
  </w:num>
  <w:num w:numId="13">
    <w:abstractNumId w:val="14"/>
  </w:num>
  <w:num w:numId="14">
    <w:abstractNumId w:val="30"/>
  </w:num>
  <w:num w:numId="15">
    <w:abstractNumId w:val="38"/>
  </w:num>
  <w:num w:numId="16">
    <w:abstractNumId w:val="15"/>
  </w:num>
  <w:num w:numId="17">
    <w:abstractNumId w:val="12"/>
  </w:num>
  <w:num w:numId="18">
    <w:abstractNumId w:val="5"/>
  </w:num>
  <w:num w:numId="19">
    <w:abstractNumId w:val="33"/>
  </w:num>
  <w:num w:numId="20">
    <w:abstractNumId w:val="12"/>
  </w:num>
  <w:num w:numId="21">
    <w:abstractNumId w:val="12"/>
  </w:num>
  <w:num w:numId="22">
    <w:abstractNumId w:val="12"/>
  </w:num>
  <w:num w:numId="23">
    <w:abstractNumId w:val="16"/>
  </w:num>
  <w:num w:numId="24">
    <w:abstractNumId w:val="12"/>
  </w:num>
  <w:num w:numId="25">
    <w:abstractNumId w:val="12"/>
  </w:num>
  <w:num w:numId="26">
    <w:abstractNumId w:val="12"/>
  </w:num>
  <w:num w:numId="27">
    <w:abstractNumId w:val="35"/>
  </w:num>
  <w:num w:numId="28">
    <w:abstractNumId w:val="12"/>
  </w:num>
  <w:num w:numId="29">
    <w:abstractNumId w:val="2"/>
  </w:num>
  <w:num w:numId="30">
    <w:abstractNumId w:val="21"/>
  </w:num>
  <w:num w:numId="31">
    <w:abstractNumId w:val="23"/>
  </w:num>
  <w:num w:numId="32">
    <w:abstractNumId w:val="3"/>
  </w:num>
  <w:num w:numId="33">
    <w:abstractNumId w:val="19"/>
  </w:num>
  <w:num w:numId="34">
    <w:abstractNumId w:val="7"/>
  </w:num>
  <w:num w:numId="35">
    <w:abstractNumId w:val="32"/>
  </w:num>
  <w:num w:numId="36">
    <w:abstractNumId w:val="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4"/>
  </w:num>
  <w:num w:numId="40">
    <w:abstractNumId w:val="40"/>
  </w:num>
  <w:num w:numId="41">
    <w:abstractNumId w:val="18"/>
  </w:num>
  <w:num w:numId="42">
    <w:abstractNumId w:val="36"/>
  </w:num>
  <w:num w:numId="43">
    <w:abstractNumId w:val="26"/>
  </w:num>
  <w:num w:numId="44">
    <w:abstractNumId w:val="25"/>
  </w:num>
  <w:num w:numId="45">
    <w:abstractNumId w:val="24"/>
  </w:num>
  <w:num w:numId="46">
    <w:abstractNumId w:val="6"/>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olour Palette" w:val="PwC Maroon"/>
  </w:docVars>
  <w:rsids>
    <w:rsidRoot w:val="007D1A94"/>
    <w:rsid w:val="00000A3C"/>
    <w:rsid w:val="00002F97"/>
    <w:rsid w:val="00003B1A"/>
    <w:rsid w:val="000049B0"/>
    <w:rsid w:val="00005001"/>
    <w:rsid w:val="00005F89"/>
    <w:rsid w:val="00013997"/>
    <w:rsid w:val="000159D9"/>
    <w:rsid w:val="00021B0A"/>
    <w:rsid w:val="00025B19"/>
    <w:rsid w:val="000267F4"/>
    <w:rsid w:val="000340C2"/>
    <w:rsid w:val="00036273"/>
    <w:rsid w:val="00037110"/>
    <w:rsid w:val="000379A1"/>
    <w:rsid w:val="00037E15"/>
    <w:rsid w:val="00042B88"/>
    <w:rsid w:val="00044AC3"/>
    <w:rsid w:val="00057E67"/>
    <w:rsid w:val="00062CE7"/>
    <w:rsid w:val="00063DFB"/>
    <w:rsid w:val="00064BB1"/>
    <w:rsid w:val="00067D01"/>
    <w:rsid w:val="000707CA"/>
    <w:rsid w:val="00070CC9"/>
    <w:rsid w:val="000758ED"/>
    <w:rsid w:val="0007632F"/>
    <w:rsid w:val="00086623"/>
    <w:rsid w:val="000867AB"/>
    <w:rsid w:val="000922F3"/>
    <w:rsid w:val="00092E07"/>
    <w:rsid w:val="00093429"/>
    <w:rsid w:val="00093FA9"/>
    <w:rsid w:val="00097A43"/>
    <w:rsid w:val="000A0291"/>
    <w:rsid w:val="000A0367"/>
    <w:rsid w:val="000A1702"/>
    <w:rsid w:val="000A4E2E"/>
    <w:rsid w:val="000A4F68"/>
    <w:rsid w:val="000A50DB"/>
    <w:rsid w:val="000B1B88"/>
    <w:rsid w:val="000B36FF"/>
    <w:rsid w:val="000B44C8"/>
    <w:rsid w:val="000B49D8"/>
    <w:rsid w:val="000B4CF2"/>
    <w:rsid w:val="000B7335"/>
    <w:rsid w:val="000C01C1"/>
    <w:rsid w:val="000C02B3"/>
    <w:rsid w:val="000C3487"/>
    <w:rsid w:val="000C3AA8"/>
    <w:rsid w:val="000C5115"/>
    <w:rsid w:val="000C5294"/>
    <w:rsid w:val="000C58D0"/>
    <w:rsid w:val="000D02AC"/>
    <w:rsid w:val="000D38E4"/>
    <w:rsid w:val="000E2087"/>
    <w:rsid w:val="000E71C6"/>
    <w:rsid w:val="000F217A"/>
    <w:rsid w:val="000F5381"/>
    <w:rsid w:val="00102DB4"/>
    <w:rsid w:val="00104A21"/>
    <w:rsid w:val="00112D01"/>
    <w:rsid w:val="00114FF0"/>
    <w:rsid w:val="00115F74"/>
    <w:rsid w:val="0011627C"/>
    <w:rsid w:val="0011793C"/>
    <w:rsid w:val="00122BD8"/>
    <w:rsid w:val="001234EB"/>
    <w:rsid w:val="00123EA0"/>
    <w:rsid w:val="00124453"/>
    <w:rsid w:val="00124735"/>
    <w:rsid w:val="00124A00"/>
    <w:rsid w:val="00124CFE"/>
    <w:rsid w:val="00125D53"/>
    <w:rsid w:val="00125F20"/>
    <w:rsid w:val="0012636F"/>
    <w:rsid w:val="00131BB3"/>
    <w:rsid w:val="001350FF"/>
    <w:rsid w:val="00155317"/>
    <w:rsid w:val="00155925"/>
    <w:rsid w:val="00161220"/>
    <w:rsid w:val="00163A4A"/>
    <w:rsid w:val="00163B14"/>
    <w:rsid w:val="00163EB6"/>
    <w:rsid w:val="00167D2B"/>
    <w:rsid w:val="00167D5F"/>
    <w:rsid w:val="001705DE"/>
    <w:rsid w:val="00174E6D"/>
    <w:rsid w:val="0017762B"/>
    <w:rsid w:val="00194BFC"/>
    <w:rsid w:val="001A0E7B"/>
    <w:rsid w:val="001A0F74"/>
    <w:rsid w:val="001A2457"/>
    <w:rsid w:val="001A32F0"/>
    <w:rsid w:val="001A5C1D"/>
    <w:rsid w:val="001A719F"/>
    <w:rsid w:val="001B091C"/>
    <w:rsid w:val="001B30C8"/>
    <w:rsid w:val="001B3715"/>
    <w:rsid w:val="001B7D84"/>
    <w:rsid w:val="001C036A"/>
    <w:rsid w:val="001C3756"/>
    <w:rsid w:val="001C3AA2"/>
    <w:rsid w:val="001C47D0"/>
    <w:rsid w:val="001D04ED"/>
    <w:rsid w:val="001D0B61"/>
    <w:rsid w:val="001E1489"/>
    <w:rsid w:val="001F3718"/>
    <w:rsid w:val="001F4B15"/>
    <w:rsid w:val="0020345C"/>
    <w:rsid w:val="002038C4"/>
    <w:rsid w:val="00212138"/>
    <w:rsid w:val="002139B6"/>
    <w:rsid w:val="002218F7"/>
    <w:rsid w:val="002279BF"/>
    <w:rsid w:val="002314D9"/>
    <w:rsid w:val="00232BE3"/>
    <w:rsid w:val="00235FAD"/>
    <w:rsid w:val="0024000F"/>
    <w:rsid w:val="0024091D"/>
    <w:rsid w:val="002420AC"/>
    <w:rsid w:val="00242E32"/>
    <w:rsid w:val="002468E6"/>
    <w:rsid w:val="00251F3F"/>
    <w:rsid w:val="0025339C"/>
    <w:rsid w:val="00257EFB"/>
    <w:rsid w:val="0026091A"/>
    <w:rsid w:val="00262B16"/>
    <w:rsid w:val="00264257"/>
    <w:rsid w:val="00266EF8"/>
    <w:rsid w:val="00271132"/>
    <w:rsid w:val="00271CFA"/>
    <w:rsid w:val="00280A08"/>
    <w:rsid w:val="00280A70"/>
    <w:rsid w:val="00283A57"/>
    <w:rsid w:val="00290D61"/>
    <w:rsid w:val="00297DD4"/>
    <w:rsid w:val="002A0961"/>
    <w:rsid w:val="002A1D93"/>
    <w:rsid w:val="002A28EF"/>
    <w:rsid w:val="002A4C58"/>
    <w:rsid w:val="002A5320"/>
    <w:rsid w:val="002A765D"/>
    <w:rsid w:val="002B7905"/>
    <w:rsid w:val="002C10C1"/>
    <w:rsid w:val="002C7421"/>
    <w:rsid w:val="002D0C52"/>
    <w:rsid w:val="002D1014"/>
    <w:rsid w:val="002D1450"/>
    <w:rsid w:val="002D253D"/>
    <w:rsid w:val="002D355F"/>
    <w:rsid w:val="002D3DC6"/>
    <w:rsid w:val="002D3FDD"/>
    <w:rsid w:val="002D52C5"/>
    <w:rsid w:val="002D53E7"/>
    <w:rsid w:val="002D580C"/>
    <w:rsid w:val="002E08BA"/>
    <w:rsid w:val="002E7002"/>
    <w:rsid w:val="002F0A17"/>
    <w:rsid w:val="002F2368"/>
    <w:rsid w:val="003046CC"/>
    <w:rsid w:val="00310B71"/>
    <w:rsid w:val="00311F44"/>
    <w:rsid w:val="00320ECF"/>
    <w:rsid w:val="003217CB"/>
    <w:rsid w:val="003220CE"/>
    <w:rsid w:val="003237B4"/>
    <w:rsid w:val="00325BC9"/>
    <w:rsid w:val="00326D00"/>
    <w:rsid w:val="00326E3E"/>
    <w:rsid w:val="003317FD"/>
    <w:rsid w:val="00342461"/>
    <w:rsid w:val="00346C8B"/>
    <w:rsid w:val="003472B4"/>
    <w:rsid w:val="00350BBC"/>
    <w:rsid w:val="0035189F"/>
    <w:rsid w:val="0035288D"/>
    <w:rsid w:val="00362B32"/>
    <w:rsid w:val="00365C08"/>
    <w:rsid w:val="00366720"/>
    <w:rsid w:val="00372460"/>
    <w:rsid w:val="00376C94"/>
    <w:rsid w:val="00377598"/>
    <w:rsid w:val="00382DE2"/>
    <w:rsid w:val="003842D2"/>
    <w:rsid w:val="00385E26"/>
    <w:rsid w:val="00386882"/>
    <w:rsid w:val="00387057"/>
    <w:rsid w:val="00390BE4"/>
    <w:rsid w:val="00390C73"/>
    <w:rsid w:val="00392722"/>
    <w:rsid w:val="003936E5"/>
    <w:rsid w:val="0039668E"/>
    <w:rsid w:val="003A7CFA"/>
    <w:rsid w:val="003B291D"/>
    <w:rsid w:val="003B298E"/>
    <w:rsid w:val="003B54AB"/>
    <w:rsid w:val="003B7644"/>
    <w:rsid w:val="003C0DA5"/>
    <w:rsid w:val="003C4E0D"/>
    <w:rsid w:val="003C68A1"/>
    <w:rsid w:val="003D12B8"/>
    <w:rsid w:val="003D3F93"/>
    <w:rsid w:val="003E121E"/>
    <w:rsid w:val="003F5882"/>
    <w:rsid w:val="003F72CE"/>
    <w:rsid w:val="00400213"/>
    <w:rsid w:val="00401557"/>
    <w:rsid w:val="00402D1C"/>
    <w:rsid w:val="00402F3E"/>
    <w:rsid w:val="00410DA7"/>
    <w:rsid w:val="00411F83"/>
    <w:rsid w:val="0042001C"/>
    <w:rsid w:val="00422704"/>
    <w:rsid w:val="004234CF"/>
    <w:rsid w:val="00424891"/>
    <w:rsid w:val="004317C3"/>
    <w:rsid w:val="004320DD"/>
    <w:rsid w:val="004323C8"/>
    <w:rsid w:val="00432927"/>
    <w:rsid w:val="00441884"/>
    <w:rsid w:val="00442FAB"/>
    <w:rsid w:val="004459D0"/>
    <w:rsid w:val="00450653"/>
    <w:rsid w:val="0045065A"/>
    <w:rsid w:val="0045245C"/>
    <w:rsid w:val="00452B15"/>
    <w:rsid w:val="00453781"/>
    <w:rsid w:val="00453BD0"/>
    <w:rsid w:val="00453D96"/>
    <w:rsid w:val="00453F61"/>
    <w:rsid w:val="00460D72"/>
    <w:rsid w:val="00461442"/>
    <w:rsid w:val="00462710"/>
    <w:rsid w:val="004655DF"/>
    <w:rsid w:val="00471556"/>
    <w:rsid w:val="00471E07"/>
    <w:rsid w:val="00472002"/>
    <w:rsid w:val="004733FB"/>
    <w:rsid w:val="004754E0"/>
    <w:rsid w:val="00483213"/>
    <w:rsid w:val="0048330F"/>
    <w:rsid w:val="004846FE"/>
    <w:rsid w:val="004858B7"/>
    <w:rsid w:val="00486930"/>
    <w:rsid w:val="00492A73"/>
    <w:rsid w:val="00493F7C"/>
    <w:rsid w:val="00494352"/>
    <w:rsid w:val="0049561F"/>
    <w:rsid w:val="004A029D"/>
    <w:rsid w:val="004A21E7"/>
    <w:rsid w:val="004A4A29"/>
    <w:rsid w:val="004B0627"/>
    <w:rsid w:val="004B0C80"/>
    <w:rsid w:val="004B6542"/>
    <w:rsid w:val="004C2AE0"/>
    <w:rsid w:val="004C71A2"/>
    <w:rsid w:val="004D4003"/>
    <w:rsid w:val="004D431C"/>
    <w:rsid w:val="004E4BF6"/>
    <w:rsid w:val="004E4E80"/>
    <w:rsid w:val="004F0A79"/>
    <w:rsid w:val="004F0C8C"/>
    <w:rsid w:val="00500D6B"/>
    <w:rsid w:val="00506393"/>
    <w:rsid w:val="00506E71"/>
    <w:rsid w:val="005079B3"/>
    <w:rsid w:val="00510AC6"/>
    <w:rsid w:val="00513CD2"/>
    <w:rsid w:val="00523339"/>
    <w:rsid w:val="005251D1"/>
    <w:rsid w:val="0052554C"/>
    <w:rsid w:val="005271CC"/>
    <w:rsid w:val="005274C4"/>
    <w:rsid w:val="00530104"/>
    <w:rsid w:val="00530A55"/>
    <w:rsid w:val="00532D8F"/>
    <w:rsid w:val="00534410"/>
    <w:rsid w:val="00536129"/>
    <w:rsid w:val="005433AF"/>
    <w:rsid w:val="00544107"/>
    <w:rsid w:val="00544F53"/>
    <w:rsid w:val="0055143D"/>
    <w:rsid w:val="005528EC"/>
    <w:rsid w:val="005534CB"/>
    <w:rsid w:val="005546BB"/>
    <w:rsid w:val="00555ED6"/>
    <w:rsid w:val="0055772C"/>
    <w:rsid w:val="00564BE0"/>
    <w:rsid w:val="00567115"/>
    <w:rsid w:val="005750B2"/>
    <w:rsid w:val="00576701"/>
    <w:rsid w:val="00576F75"/>
    <w:rsid w:val="0058002B"/>
    <w:rsid w:val="005813CC"/>
    <w:rsid w:val="00581464"/>
    <w:rsid w:val="00581C35"/>
    <w:rsid w:val="00581DFE"/>
    <w:rsid w:val="00582D91"/>
    <w:rsid w:val="00582FAB"/>
    <w:rsid w:val="0058447D"/>
    <w:rsid w:val="00590855"/>
    <w:rsid w:val="00591668"/>
    <w:rsid w:val="0059455A"/>
    <w:rsid w:val="005A1B37"/>
    <w:rsid w:val="005A2930"/>
    <w:rsid w:val="005A6053"/>
    <w:rsid w:val="005B04AB"/>
    <w:rsid w:val="005B1F33"/>
    <w:rsid w:val="005B23F5"/>
    <w:rsid w:val="005B53C6"/>
    <w:rsid w:val="005B57AE"/>
    <w:rsid w:val="005B5D39"/>
    <w:rsid w:val="005B721A"/>
    <w:rsid w:val="005C0881"/>
    <w:rsid w:val="005C1D30"/>
    <w:rsid w:val="005D17B9"/>
    <w:rsid w:val="005D1B11"/>
    <w:rsid w:val="005D2AF1"/>
    <w:rsid w:val="005D7B80"/>
    <w:rsid w:val="005E61E9"/>
    <w:rsid w:val="005F1BB1"/>
    <w:rsid w:val="005F2BEA"/>
    <w:rsid w:val="005F5E4E"/>
    <w:rsid w:val="005F5FA3"/>
    <w:rsid w:val="005F769C"/>
    <w:rsid w:val="005F78B3"/>
    <w:rsid w:val="00604962"/>
    <w:rsid w:val="00604984"/>
    <w:rsid w:val="00604EE0"/>
    <w:rsid w:val="00610E91"/>
    <w:rsid w:val="00616601"/>
    <w:rsid w:val="006218DB"/>
    <w:rsid w:val="00622CCD"/>
    <w:rsid w:val="00624A0D"/>
    <w:rsid w:val="0062634B"/>
    <w:rsid w:val="00626C69"/>
    <w:rsid w:val="00627E4F"/>
    <w:rsid w:val="00633712"/>
    <w:rsid w:val="00634BDF"/>
    <w:rsid w:val="00635A0E"/>
    <w:rsid w:val="006361B6"/>
    <w:rsid w:val="00637DEF"/>
    <w:rsid w:val="00643D2C"/>
    <w:rsid w:val="00643F9F"/>
    <w:rsid w:val="00644463"/>
    <w:rsid w:val="00645B41"/>
    <w:rsid w:val="00646EEB"/>
    <w:rsid w:val="006506CB"/>
    <w:rsid w:val="00651528"/>
    <w:rsid w:val="006519E4"/>
    <w:rsid w:val="006520B0"/>
    <w:rsid w:val="006559C1"/>
    <w:rsid w:val="0066657B"/>
    <w:rsid w:val="00666DF0"/>
    <w:rsid w:val="006730C3"/>
    <w:rsid w:val="00673384"/>
    <w:rsid w:val="00676147"/>
    <w:rsid w:val="0067734C"/>
    <w:rsid w:val="0068260C"/>
    <w:rsid w:val="00683EA1"/>
    <w:rsid w:val="006868CA"/>
    <w:rsid w:val="006902E3"/>
    <w:rsid w:val="00690324"/>
    <w:rsid w:val="006912AF"/>
    <w:rsid w:val="00691CB2"/>
    <w:rsid w:val="00695E94"/>
    <w:rsid w:val="00695EEC"/>
    <w:rsid w:val="006969EC"/>
    <w:rsid w:val="0069748F"/>
    <w:rsid w:val="006A70A3"/>
    <w:rsid w:val="006B590E"/>
    <w:rsid w:val="006C352E"/>
    <w:rsid w:val="006C4068"/>
    <w:rsid w:val="006C4449"/>
    <w:rsid w:val="006C62C6"/>
    <w:rsid w:val="006D1B62"/>
    <w:rsid w:val="006D1DCD"/>
    <w:rsid w:val="006D64C6"/>
    <w:rsid w:val="006D74FE"/>
    <w:rsid w:val="006E3EAE"/>
    <w:rsid w:val="006E4233"/>
    <w:rsid w:val="006E5DD6"/>
    <w:rsid w:val="006E631F"/>
    <w:rsid w:val="006E6854"/>
    <w:rsid w:val="006E7567"/>
    <w:rsid w:val="006F106F"/>
    <w:rsid w:val="006F3D20"/>
    <w:rsid w:val="006F40BF"/>
    <w:rsid w:val="006F569A"/>
    <w:rsid w:val="006F7245"/>
    <w:rsid w:val="006F7DBE"/>
    <w:rsid w:val="00711390"/>
    <w:rsid w:val="00724BF1"/>
    <w:rsid w:val="007252F8"/>
    <w:rsid w:val="00727346"/>
    <w:rsid w:val="0073285C"/>
    <w:rsid w:val="00740115"/>
    <w:rsid w:val="0074177B"/>
    <w:rsid w:val="00743CA9"/>
    <w:rsid w:val="00744F52"/>
    <w:rsid w:val="00746578"/>
    <w:rsid w:val="00753ECD"/>
    <w:rsid w:val="00757173"/>
    <w:rsid w:val="00772DFE"/>
    <w:rsid w:val="00773FD7"/>
    <w:rsid w:val="00774E9C"/>
    <w:rsid w:val="00776D67"/>
    <w:rsid w:val="00777637"/>
    <w:rsid w:val="00780AF1"/>
    <w:rsid w:val="00782EC3"/>
    <w:rsid w:val="00782EE2"/>
    <w:rsid w:val="00784C24"/>
    <w:rsid w:val="007926D7"/>
    <w:rsid w:val="007952AF"/>
    <w:rsid w:val="00796BBE"/>
    <w:rsid w:val="007A098F"/>
    <w:rsid w:val="007A0F4F"/>
    <w:rsid w:val="007A1725"/>
    <w:rsid w:val="007A2C0F"/>
    <w:rsid w:val="007A31AE"/>
    <w:rsid w:val="007A434C"/>
    <w:rsid w:val="007A4E69"/>
    <w:rsid w:val="007A4EE1"/>
    <w:rsid w:val="007A60F5"/>
    <w:rsid w:val="007B09EB"/>
    <w:rsid w:val="007B7BA1"/>
    <w:rsid w:val="007C027E"/>
    <w:rsid w:val="007C0905"/>
    <w:rsid w:val="007C0CC8"/>
    <w:rsid w:val="007C0D1A"/>
    <w:rsid w:val="007C1ECA"/>
    <w:rsid w:val="007D0A6E"/>
    <w:rsid w:val="007D0B0D"/>
    <w:rsid w:val="007D1A94"/>
    <w:rsid w:val="007D4BFF"/>
    <w:rsid w:val="007E127C"/>
    <w:rsid w:val="007E39EE"/>
    <w:rsid w:val="007E52A3"/>
    <w:rsid w:val="007E5347"/>
    <w:rsid w:val="007E5CD7"/>
    <w:rsid w:val="007F44D7"/>
    <w:rsid w:val="007F53CC"/>
    <w:rsid w:val="007F6577"/>
    <w:rsid w:val="007F7722"/>
    <w:rsid w:val="007F7E71"/>
    <w:rsid w:val="008008CA"/>
    <w:rsid w:val="008014E9"/>
    <w:rsid w:val="00801661"/>
    <w:rsid w:val="00802F0B"/>
    <w:rsid w:val="008042A6"/>
    <w:rsid w:val="0080437F"/>
    <w:rsid w:val="008063A0"/>
    <w:rsid w:val="0080641C"/>
    <w:rsid w:val="0081470F"/>
    <w:rsid w:val="008148DB"/>
    <w:rsid w:val="008162BC"/>
    <w:rsid w:val="00817461"/>
    <w:rsid w:val="00826EF2"/>
    <w:rsid w:val="0082762D"/>
    <w:rsid w:val="00840279"/>
    <w:rsid w:val="00840F57"/>
    <w:rsid w:val="00844C08"/>
    <w:rsid w:val="00850614"/>
    <w:rsid w:val="00854E08"/>
    <w:rsid w:val="00857BA4"/>
    <w:rsid w:val="00860088"/>
    <w:rsid w:val="008601CA"/>
    <w:rsid w:val="00861B0E"/>
    <w:rsid w:val="00867748"/>
    <w:rsid w:val="00871909"/>
    <w:rsid w:val="008775EB"/>
    <w:rsid w:val="008803C3"/>
    <w:rsid w:val="00883E10"/>
    <w:rsid w:val="008845A6"/>
    <w:rsid w:val="008868DB"/>
    <w:rsid w:val="00886C37"/>
    <w:rsid w:val="00886F0B"/>
    <w:rsid w:val="00887393"/>
    <w:rsid w:val="00897B07"/>
    <w:rsid w:val="00897DAF"/>
    <w:rsid w:val="008A227E"/>
    <w:rsid w:val="008A2344"/>
    <w:rsid w:val="008A30D9"/>
    <w:rsid w:val="008A4425"/>
    <w:rsid w:val="008B1D97"/>
    <w:rsid w:val="008B3D5C"/>
    <w:rsid w:val="008B651F"/>
    <w:rsid w:val="008B676A"/>
    <w:rsid w:val="008B699C"/>
    <w:rsid w:val="008C0386"/>
    <w:rsid w:val="008C31CC"/>
    <w:rsid w:val="008C5935"/>
    <w:rsid w:val="008C6050"/>
    <w:rsid w:val="008D07DA"/>
    <w:rsid w:val="008D1241"/>
    <w:rsid w:val="008D533E"/>
    <w:rsid w:val="008E326B"/>
    <w:rsid w:val="008E507C"/>
    <w:rsid w:val="008E55F7"/>
    <w:rsid w:val="008E64DE"/>
    <w:rsid w:val="008E7634"/>
    <w:rsid w:val="008F0AAB"/>
    <w:rsid w:val="008F1DF4"/>
    <w:rsid w:val="008F21E5"/>
    <w:rsid w:val="008F23AC"/>
    <w:rsid w:val="008F3887"/>
    <w:rsid w:val="0090088C"/>
    <w:rsid w:val="00903332"/>
    <w:rsid w:val="00903A61"/>
    <w:rsid w:val="009104A5"/>
    <w:rsid w:val="009152D7"/>
    <w:rsid w:val="0092063F"/>
    <w:rsid w:val="00921BD2"/>
    <w:rsid w:val="0092341A"/>
    <w:rsid w:val="0093170D"/>
    <w:rsid w:val="00934677"/>
    <w:rsid w:val="00934788"/>
    <w:rsid w:val="009354F1"/>
    <w:rsid w:val="00937A46"/>
    <w:rsid w:val="00940783"/>
    <w:rsid w:val="00944E62"/>
    <w:rsid w:val="009478AB"/>
    <w:rsid w:val="00955BC8"/>
    <w:rsid w:val="009566B8"/>
    <w:rsid w:val="00961F7D"/>
    <w:rsid w:val="0096324D"/>
    <w:rsid w:val="00965096"/>
    <w:rsid w:val="00965659"/>
    <w:rsid w:val="00967EAC"/>
    <w:rsid w:val="009702CC"/>
    <w:rsid w:val="0097235F"/>
    <w:rsid w:val="00975A20"/>
    <w:rsid w:val="00975F52"/>
    <w:rsid w:val="0098070F"/>
    <w:rsid w:val="009821A6"/>
    <w:rsid w:val="0098671D"/>
    <w:rsid w:val="00986EF1"/>
    <w:rsid w:val="0098742E"/>
    <w:rsid w:val="00990C77"/>
    <w:rsid w:val="00991111"/>
    <w:rsid w:val="0099434D"/>
    <w:rsid w:val="00996F8A"/>
    <w:rsid w:val="009975C1"/>
    <w:rsid w:val="009A1B13"/>
    <w:rsid w:val="009A5D8D"/>
    <w:rsid w:val="009A678E"/>
    <w:rsid w:val="009B1E5A"/>
    <w:rsid w:val="009B3186"/>
    <w:rsid w:val="009B3CF8"/>
    <w:rsid w:val="009B4D92"/>
    <w:rsid w:val="009B56AA"/>
    <w:rsid w:val="009B66E4"/>
    <w:rsid w:val="009C0F36"/>
    <w:rsid w:val="009C113A"/>
    <w:rsid w:val="009C134F"/>
    <w:rsid w:val="009C3FA2"/>
    <w:rsid w:val="009C69AE"/>
    <w:rsid w:val="009D0CF0"/>
    <w:rsid w:val="009D4E14"/>
    <w:rsid w:val="009D62F6"/>
    <w:rsid w:val="009D7545"/>
    <w:rsid w:val="009E00BA"/>
    <w:rsid w:val="009E00BF"/>
    <w:rsid w:val="009E1163"/>
    <w:rsid w:val="009E1677"/>
    <w:rsid w:val="009E3A14"/>
    <w:rsid w:val="009E49C0"/>
    <w:rsid w:val="009E657B"/>
    <w:rsid w:val="009F02A4"/>
    <w:rsid w:val="009F1ECE"/>
    <w:rsid w:val="009F2B77"/>
    <w:rsid w:val="009F53BC"/>
    <w:rsid w:val="009F5835"/>
    <w:rsid w:val="009F7919"/>
    <w:rsid w:val="00A0134B"/>
    <w:rsid w:val="00A01BB1"/>
    <w:rsid w:val="00A03C2F"/>
    <w:rsid w:val="00A13885"/>
    <w:rsid w:val="00A139D5"/>
    <w:rsid w:val="00A13B16"/>
    <w:rsid w:val="00A15E7B"/>
    <w:rsid w:val="00A173AB"/>
    <w:rsid w:val="00A2091A"/>
    <w:rsid w:val="00A24007"/>
    <w:rsid w:val="00A310E2"/>
    <w:rsid w:val="00A3151E"/>
    <w:rsid w:val="00A33BEF"/>
    <w:rsid w:val="00A3414D"/>
    <w:rsid w:val="00A36407"/>
    <w:rsid w:val="00A368CD"/>
    <w:rsid w:val="00A37568"/>
    <w:rsid w:val="00A43553"/>
    <w:rsid w:val="00A43F91"/>
    <w:rsid w:val="00A511D0"/>
    <w:rsid w:val="00A51592"/>
    <w:rsid w:val="00A51594"/>
    <w:rsid w:val="00A53289"/>
    <w:rsid w:val="00A55E05"/>
    <w:rsid w:val="00A56268"/>
    <w:rsid w:val="00A57A5F"/>
    <w:rsid w:val="00A57E90"/>
    <w:rsid w:val="00A57EA0"/>
    <w:rsid w:val="00A63680"/>
    <w:rsid w:val="00A6586E"/>
    <w:rsid w:val="00A7030E"/>
    <w:rsid w:val="00A7143B"/>
    <w:rsid w:val="00A72EA4"/>
    <w:rsid w:val="00A75C1E"/>
    <w:rsid w:val="00A805C8"/>
    <w:rsid w:val="00A80AAD"/>
    <w:rsid w:val="00A80C5A"/>
    <w:rsid w:val="00A815C8"/>
    <w:rsid w:val="00A8329E"/>
    <w:rsid w:val="00A83C48"/>
    <w:rsid w:val="00A85EB2"/>
    <w:rsid w:val="00A86121"/>
    <w:rsid w:val="00A867CF"/>
    <w:rsid w:val="00A9058D"/>
    <w:rsid w:val="00A91E65"/>
    <w:rsid w:val="00A928C5"/>
    <w:rsid w:val="00A94CA4"/>
    <w:rsid w:val="00A953CE"/>
    <w:rsid w:val="00A973C0"/>
    <w:rsid w:val="00A97EAA"/>
    <w:rsid w:val="00AA1BD0"/>
    <w:rsid w:val="00AA5880"/>
    <w:rsid w:val="00AA62E4"/>
    <w:rsid w:val="00AB581F"/>
    <w:rsid w:val="00AC157E"/>
    <w:rsid w:val="00AC1D5A"/>
    <w:rsid w:val="00AC24C4"/>
    <w:rsid w:val="00AC55F5"/>
    <w:rsid w:val="00AC6844"/>
    <w:rsid w:val="00AC6BED"/>
    <w:rsid w:val="00AC7CC3"/>
    <w:rsid w:val="00AD169A"/>
    <w:rsid w:val="00AD1E33"/>
    <w:rsid w:val="00AD2DCA"/>
    <w:rsid w:val="00AD443B"/>
    <w:rsid w:val="00AD4572"/>
    <w:rsid w:val="00AD4E68"/>
    <w:rsid w:val="00AD5260"/>
    <w:rsid w:val="00AD744C"/>
    <w:rsid w:val="00AE1E52"/>
    <w:rsid w:val="00AE3DA2"/>
    <w:rsid w:val="00AE60D6"/>
    <w:rsid w:val="00AF2726"/>
    <w:rsid w:val="00AF311F"/>
    <w:rsid w:val="00B000C1"/>
    <w:rsid w:val="00B03A69"/>
    <w:rsid w:val="00B0748A"/>
    <w:rsid w:val="00B07FBE"/>
    <w:rsid w:val="00B1157E"/>
    <w:rsid w:val="00B159BC"/>
    <w:rsid w:val="00B162DD"/>
    <w:rsid w:val="00B208AE"/>
    <w:rsid w:val="00B20BBC"/>
    <w:rsid w:val="00B31E1D"/>
    <w:rsid w:val="00B333F0"/>
    <w:rsid w:val="00B33D40"/>
    <w:rsid w:val="00B35ADE"/>
    <w:rsid w:val="00B3628F"/>
    <w:rsid w:val="00B375E6"/>
    <w:rsid w:val="00B42AAF"/>
    <w:rsid w:val="00B43BED"/>
    <w:rsid w:val="00B53D4D"/>
    <w:rsid w:val="00B5488F"/>
    <w:rsid w:val="00B55B39"/>
    <w:rsid w:val="00B5618A"/>
    <w:rsid w:val="00B61848"/>
    <w:rsid w:val="00B65047"/>
    <w:rsid w:val="00B65E28"/>
    <w:rsid w:val="00B66425"/>
    <w:rsid w:val="00B67298"/>
    <w:rsid w:val="00B7486D"/>
    <w:rsid w:val="00B751E9"/>
    <w:rsid w:val="00B76B2B"/>
    <w:rsid w:val="00B80056"/>
    <w:rsid w:val="00B80D87"/>
    <w:rsid w:val="00B81F65"/>
    <w:rsid w:val="00B82371"/>
    <w:rsid w:val="00B8282E"/>
    <w:rsid w:val="00B85C61"/>
    <w:rsid w:val="00B90054"/>
    <w:rsid w:val="00B9051E"/>
    <w:rsid w:val="00B91DA9"/>
    <w:rsid w:val="00B93578"/>
    <w:rsid w:val="00B93932"/>
    <w:rsid w:val="00B93F6A"/>
    <w:rsid w:val="00B94198"/>
    <w:rsid w:val="00B9516E"/>
    <w:rsid w:val="00B96399"/>
    <w:rsid w:val="00BA40E3"/>
    <w:rsid w:val="00BA7903"/>
    <w:rsid w:val="00BB0229"/>
    <w:rsid w:val="00BB1FBB"/>
    <w:rsid w:val="00BB3F29"/>
    <w:rsid w:val="00BB49C3"/>
    <w:rsid w:val="00BB670B"/>
    <w:rsid w:val="00BB708E"/>
    <w:rsid w:val="00BC0F91"/>
    <w:rsid w:val="00BC49F4"/>
    <w:rsid w:val="00BE2588"/>
    <w:rsid w:val="00BE3311"/>
    <w:rsid w:val="00BE5904"/>
    <w:rsid w:val="00BE5B5E"/>
    <w:rsid w:val="00BE7A8B"/>
    <w:rsid w:val="00BF2943"/>
    <w:rsid w:val="00BF38FF"/>
    <w:rsid w:val="00BF72BE"/>
    <w:rsid w:val="00C001B0"/>
    <w:rsid w:val="00C01721"/>
    <w:rsid w:val="00C01E87"/>
    <w:rsid w:val="00C04196"/>
    <w:rsid w:val="00C058B6"/>
    <w:rsid w:val="00C16843"/>
    <w:rsid w:val="00C20512"/>
    <w:rsid w:val="00C21469"/>
    <w:rsid w:val="00C2194C"/>
    <w:rsid w:val="00C21A41"/>
    <w:rsid w:val="00C22C26"/>
    <w:rsid w:val="00C26B24"/>
    <w:rsid w:val="00C27B86"/>
    <w:rsid w:val="00C301B3"/>
    <w:rsid w:val="00C31D70"/>
    <w:rsid w:val="00C33D02"/>
    <w:rsid w:val="00C40033"/>
    <w:rsid w:val="00C456AB"/>
    <w:rsid w:val="00C45DC9"/>
    <w:rsid w:val="00C47CA7"/>
    <w:rsid w:val="00C509AE"/>
    <w:rsid w:val="00C528B5"/>
    <w:rsid w:val="00C529F8"/>
    <w:rsid w:val="00C52AA3"/>
    <w:rsid w:val="00C54088"/>
    <w:rsid w:val="00C5515D"/>
    <w:rsid w:val="00C57FB2"/>
    <w:rsid w:val="00C608C4"/>
    <w:rsid w:val="00C66769"/>
    <w:rsid w:val="00C714FB"/>
    <w:rsid w:val="00C74631"/>
    <w:rsid w:val="00C752E3"/>
    <w:rsid w:val="00C7756B"/>
    <w:rsid w:val="00C812C7"/>
    <w:rsid w:val="00C8286E"/>
    <w:rsid w:val="00C84510"/>
    <w:rsid w:val="00C848E1"/>
    <w:rsid w:val="00C85046"/>
    <w:rsid w:val="00C940F4"/>
    <w:rsid w:val="00C94D24"/>
    <w:rsid w:val="00CA1D8B"/>
    <w:rsid w:val="00CA6F87"/>
    <w:rsid w:val="00CB0023"/>
    <w:rsid w:val="00CB2670"/>
    <w:rsid w:val="00CB5D6E"/>
    <w:rsid w:val="00CB7FE8"/>
    <w:rsid w:val="00CC0050"/>
    <w:rsid w:val="00CC07FE"/>
    <w:rsid w:val="00CC213D"/>
    <w:rsid w:val="00CC21C0"/>
    <w:rsid w:val="00CC3462"/>
    <w:rsid w:val="00CC443E"/>
    <w:rsid w:val="00CC6790"/>
    <w:rsid w:val="00CD2B06"/>
    <w:rsid w:val="00CD2DBA"/>
    <w:rsid w:val="00CD3141"/>
    <w:rsid w:val="00CD601D"/>
    <w:rsid w:val="00CD6C84"/>
    <w:rsid w:val="00CD72B3"/>
    <w:rsid w:val="00CE00B7"/>
    <w:rsid w:val="00CE030A"/>
    <w:rsid w:val="00CE4244"/>
    <w:rsid w:val="00CF259E"/>
    <w:rsid w:val="00CF3D9D"/>
    <w:rsid w:val="00CF7648"/>
    <w:rsid w:val="00CF79D8"/>
    <w:rsid w:val="00D02CA1"/>
    <w:rsid w:val="00D03877"/>
    <w:rsid w:val="00D03AA0"/>
    <w:rsid w:val="00D04BBE"/>
    <w:rsid w:val="00D068E0"/>
    <w:rsid w:val="00D06ACD"/>
    <w:rsid w:val="00D103C7"/>
    <w:rsid w:val="00D1097E"/>
    <w:rsid w:val="00D12582"/>
    <w:rsid w:val="00D13F43"/>
    <w:rsid w:val="00D20A57"/>
    <w:rsid w:val="00D221D0"/>
    <w:rsid w:val="00D263D0"/>
    <w:rsid w:val="00D30938"/>
    <w:rsid w:val="00D31CB5"/>
    <w:rsid w:val="00D32533"/>
    <w:rsid w:val="00D3410E"/>
    <w:rsid w:val="00D34593"/>
    <w:rsid w:val="00D34D5D"/>
    <w:rsid w:val="00D40EE5"/>
    <w:rsid w:val="00D464BC"/>
    <w:rsid w:val="00D51181"/>
    <w:rsid w:val="00D539AB"/>
    <w:rsid w:val="00D54A75"/>
    <w:rsid w:val="00D61AB2"/>
    <w:rsid w:val="00D643DE"/>
    <w:rsid w:val="00D64844"/>
    <w:rsid w:val="00D64AD6"/>
    <w:rsid w:val="00D736C1"/>
    <w:rsid w:val="00D740BC"/>
    <w:rsid w:val="00D74222"/>
    <w:rsid w:val="00D81509"/>
    <w:rsid w:val="00D83FE0"/>
    <w:rsid w:val="00D84322"/>
    <w:rsid w:val="00D90290"/>
    <w:rsid w:val="00D919E5"/>
    <w:rsid w:val="00D91FDD"/>
    <w:rsid w:val="00D9239D"/>
    <w:rsid w:val="00D92D8A"/>
    <w:rsid w:val="00D936A0"/>
    <w:rsid w:val="00D93900"/>
    <w:rsid w:val="00D94E43"/>
    <w:rsid w:val="00DA1731"/>
    <w:rsid w:val="00DA33F8"/>
    <w:rsid w:val="00DB4B0B"/>
    <w:rsid w:val="00DB7D3E"/>
    <w:rsid w:val="00DC0321"/>
    <w:rsid w:val="00DC7561"/>
    <w:rsid w:val="00DD1942"/>
    <w:rsid w:val="00DD232A"/>
    <w:rsid w:val="00DD6816"/>
    <w:rsid w:val="00DE09D4"/>
    <w:rsid w:val="00DE34A0"/>
    <w:rsid w:val="00DE3CEF"/>
    <w:rsid w:val="00DE4456"/>
    <w:rsid w:val="00DE5001"/>
    <w:rsid w:val="00DE5E63"/>
    <w:rsid w:val="00DE79EF"/>
    <w:rsid w:val="00DF0DBD"/>
    <w:rsid w:val="00DF14C6"/>
    <w:rsid w:val="00DF2150"/>
    <w:rsid w:val="00DF525F"/>
    <w:rsid w:val="00DF7869"/>
    <w:rsid w:val="00E00AA5"/>
    <w:rsid w:val="00E03235"/>
    <w:rsid w:val="00E0362D"/>
    <w:rsid w:val="00E04A80"/>
    <w:rsid w:val="00E064B9"/>
    <w:rsid w:val="00E069D9"/>
    <w:rsid w:val="00E06BD5"/>
    <w:rsid w:val="00E1096B"/>
    <w:rsid w:val="00E12BF9"/>
    <w:rsid w:val="00E15345"/>
    <w:rsid w:val="00E1792D"/>
    <w:rsid w:val="00E20D2B"/>
    <w:rsid w:val="00E2215D"/>
    <w:rsid w:val="00E22C16"/>
    <w:rsid w:val="00E2618C"/>
    <w:rsid w:val="00E2636B"/>
    <w:rsid w:val="00E33AFF"/>
    <w:rsid w:val="00E34270"/>
    <w:rsid w:val="00E351E5"/>
    <w:rsid w:val="00E4052D"/>
    <w:rsid w:val="00E42FD5"/>
    <w:rsid w:val="00E51DBE"/>
    <w:rsid w:val="00E5262F"/>
    <w:rsid w:val="00E559E9"/>
    <w:rsid w:val="00E56B8B"/>
    <w:rsid w:val="00E57F48"/>
    <w:rsid w:val="00E6297D"/>
    <w:rsid w:val="00E80304"/>
    <w:rsid w:val="00E826FC"/>
    <w:rsid w:val="00E83EBC"/>
    <w:rsid w:val="00E85F15"/>
    <w:rsid w:val="00E87720"/>
    <w:rsid w:val="00E91ACC"/>
    <w:rsid w:val="00E9591D"/>
    <w:rsid w:val="00E97B1C"/>
    <w:rsid w:val="00EA6A97"/>
    <w:rsid w:val="00EA6FE4"/>
    <w:rsid w:val="00EB06D0"/>
    <w:rsid w:val="00EB0FE2"/>
    <w:rsid w:val="00EB2F6A"/>
    <w:rsid w:val="00EB321E"/>
    <w:rsid w:val="00EB5599"/>
    <w:rsid w:val="00EB779E"/>
    <w:rsid w:val="00EC0A7F"/>
    <w:rsid w:val="00EC35A5"/>
    <w:rsid w:val="00EC3CD8"/>
    <w:rsid w:val="00EC408A"/>
    <w:rsid w:val="00EC545E"/>
    <w:rsid w:val="00EC6E42"/>
    <w:rsid w:val="00EC75C8"/>
    <w:rsid w:val="00ED2F48"/>
    <w:rsid w:val="00ED592D"/>
    <w:rsid w:val="00EE0486"/>
    <w:rsid w:val="00EE13D9"/>
    <w:rsid w:val="00EE15DE"/>
    <w:rsid w:val="00EE3C8C"/>
    <w:rsid w:val="00EE6216"/>
    <w:rsid w:val="00EE6586"/>
    <w:rsid w:val="00EE6CA5"/>
    <w:rsid w:val="00EE7796"/>
    <w:rsid w:val="00EE7B62"/>
    <w:rsid w:val="00EF1A9E"/>
    <w:rsid w:val="00F00F84"/>
    <w:rsid w:val="00F00FD7"/>
    <w:rsid w:val="00F052A3"/>
    <w:rsid w:val="00F05A67"/>
    <w:rsid w:val="00F05B55"/>
    <w:rsid w:val="00F067FA"/>
    <w:rsid w:val="00F06CB2"/>
    <w:rsid w:val="00F10787"/>
    <w:rsid w:val="00F124C9"/>
    <w:rsid w:val="00F132C3"/>
    <w:rsid w:val="00F158FF"/>
    <w:rsid w:val="00F15A68"/>
    <w:rsid w:val="00F16DAF"/>
    <w:rsid w:val="00F16F86"/>
    <w:rsid w:val="00F17793"/>
    <w:rsid w:val="00F22A98"/>
    <w:rsid w:val="00F2641F"/>
    <w:rsid w:val="00F32C46"/>
    <w:rsid w:val="00F34695"/>
    <w:rsid w:val="00F35010"/>
    <w:rsid w:val="00F35FCD"/>
    <w:rsid w:val="00F3688D"/>
    <w:rsid w:val="00F40266"/>
    <w:rsid w:val="00F41D9A"/>
    <w:rsid w:val="00F422B7"/>
    <w:rsid w:val="00F43C87"/>
    <w:rsid w:val="00F4563A"/>
    <w:rsid w:val="00F46C71"/>
    <w:rsid w:val="00F5634A"/>
    <w:rsid w:val="00F56705"/>
    <w:rsid w:val="00F56C46"/>
    <w:rsid w:val="00F5727F"/>
    <w:rsid w:val="00F613F1"/>
    <w:rsid w:val="00F715A5"/>
    <w:rsid w:val="00F77A57"/>
    <w:rsid w:val="00F82AFE"/>
    <w:rsid w:val="00F832F2"/>
    <w:rsid w:val="00F8544A"/>
    <w:rsid w:val="00F87B0C"/>
    <w:rsid w:val="00F912D7"/>
    <w:rsid w:val="00F91356"/>
    <w:rsid w:val="00F91A47"/>
    <w:rsid w:val="00F958B8"/>
    <w:rsid w:val="00FA2AD8"/>
    <w:rsid w:val="00FA7120"/>
    <w:rsid w:val="00FA77DF"/>
    <w:rsid w:val="00FB08B9"/>
    <w:rsid w:val="00FB0DC4"/>
    <w:rsid w:val="00FB0FC7"/>
    <w:rsid w:val="00FB16EA"/>
    <w:rsid w:val="00FB38A2"/>
    <w:rsid w:val="00FB5529"/>
    <w:rsid w:val="00FB66DE"/>
    <w:rsid w:val="00FB7A38"/>
    <w:rsid w:val="00FC0CF8"/>
    <w:rsid w:val="00FC24F4"/>
    <w:rsid w:val="00FC297E"/>
    <w:rsid w:val="00FC467C"/>
    <w:rsid w:val="00FC4D9E"/>
    <w:rsid w:val="00FC504A"/>
    <w:rsid w:val="00FC5C22"/>
    <w:rsid w:val="00FC5EAA"/>
    <w:rsid w:val="00FC5F1E"/>
    <w:rsid w:val="00FC6B72"/>
    <w:rsid w:val="00FC6EEB"/>
    <w:rsid w:val="00FC7038"/>
    <w:rsid w:val="00FC71C7"/>
    <w:rsid w:val="00FC7AB8"/>
    <w:rsid w:val="00FD1BF2"/>
    <w:rsid w:val="00FD4F3B"/>
    <w:rsid w:val="00FD5874"/>
    <w:rsid w:val="00FE00D7"/>
    <w:rsid w:val="00FE06FD"/>
    <w:rsid w:val="00FE1714"/>
    <w:rsid w:val="00FE2FA7"/>
    <w:rsid w:val="00FE30C5"/>
    <w:rsid w:val="00FE3D60"/>
    <w:rsid w:val="00FE6F2D"/>
    <w:rsid w:val="00FE76EC"/>
    <w:rsid w:val="00FF0F8F"/>
    <w:rsid w:val="00FF2220"/>
    <w:rsid w:val="00FF3B53"/>
    <w:rsid w:val="00FF4507"/>
    <w:rsid w:val="00FF47AC"/>
    <w:rsid w:val="00FF6741"/>
    <w:rsid w:val="00FF7B3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DC59"/>
  <w15:docId w15:val="{AB054783-A858-4E74-818B-25C9E6FC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E1163"/>
  </w:style>
  <w:style w:type="paragraph" w:styleId="Heading1">
    <w:name w:val="heading 1"/>
    <w:basedOn w:val="Normal"/>
    <w:next w:val="Heading2"/>
    <w:link w:val="Heading1Char"/>
    <w:uiPriority w:val="9"/>
    <w:qFormat/>
    <w:rsid w:val="009E1163"/>
    <w:pPr>
      <w:keepNext/>
      <w:keepLines/>
      <w:numPr>
        <w:numId w:val="7"/>
      </w:numPr>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9E1163"/>
    <w:pPr>
      <w:keepNext/>
      <w:keepLines/>
      <w:numPr>
        <w:ilvl w:val="1"/>
        <w:numId w:val="7"/>
      </w:numPr>
      <w:spacing w:after="40" w:line="240" w:lineRule="auto"/>
      <w:outlineLvl w:val="1"/>
    </w:pPr>
    <w:rPr>
      <w:rFonts w:asciiTheme="majorHAnsi" w:eastAsiaTheme="majorEastAsia" w:hAnsiTheme="majorHAnsi" w:cstheme="majorBidi"/>
      <w:b/>
      <w:bCs/>
      <w:i/>
      <w:color w:val="602320" w:themeColor="text2"/>
      <w:sz w:val="32"/>
      <w:szCs w:val="26"/>
    </w:rPr>
  </w:style>
  <w:style w:type="paragraph" w:styleId="Heading3">
    <w:name w:val="heading 3"/>
    <w:basedOn w:val="Normal"/>
    <w:next w:val="BodyText"/>
    <w:link w:val="Heading3Char"/>
    <w:uiPriority w:val="9"/>
    <w:unhideWhenUsed/>
    <w:qFormat/>
    <w:rsid w:val="009E1163"/>
    <w:pPr>
      <w:keepNext/>
      <w:keepLines/>
      <w:numPr>
        <w:ilvl w:val="2"/>
        <w:numId w:val="7"/>
      </w:numPr>
      <w:spacing w:after="40" w:line="240" w:lineRule="auto"/>
      <w:outlineLvl w:val="2"/>
    </w:pPr>
    <w:rPr>
      <w:rFonts w:asciiTheme="majorHAnsi" w:eastAsiaTheme="majorEastAsia" w:hAnsiTheme="majorHAnsi" w:cstheme="majorBidi"/>
      <w:bCs/>
      <w:i/>
      <w:color w:val="602320" w:themeColor="text2"/>
      <w:sz w:val="32"/>
    </w:rPr>
  </w:style>
  <w:style w:type="paragraph" w:styleId="Heading4">
    <w:name w:val="heading 4"/>
    <w:basedOn w:val="Normal"/>
    <w:next w:val="BodyText"/>
    <w:link w:val="Heading4Char"/>
    <w:uiPriority w:val="9"/>
    <w:unhideWhenUsed/>
    <w:qFormat/>
    <w:rsid w:val="009E1163"/>
    <w:pPr>
      <w:keepNext/>
      <w:keepLines/>
      <w:numPr>
        <w:ilvl w:val="3"/>
        <w:numId w:val="7"/>
      </w:numPr>
      <w:spacing w:after="40" w:line="240" w:lineRule="auto"/>
      <w:outlineLvl w:val="3"/>
    </w:pPr>
    <w:rPr>
      <w:rFonts w:asciiTheme="majorHAnsi" w:eastAsiaTheme="majorEastAsia" w:hAnsiTheme="majorHAnsi" w:cstheme="majorBidi"/>
      <w:bCs/>
      <w:iCs/>
      <w:color w:val="602320" w:themeColor="text2"/>
      <w:sz w:val="32"/>
    </w:rPr>
  </w:style>
  <w:style w:type="paragraph" w:styleId="Heading5">
    <w:name w:val="heading 5"/>
    <w:basedOn w:val="Normal"/>
    <w:next w:val="BodyText"/>
    <w:link w:val="Heading5Char"/>
    <w:uiPriority w:val="9"/>
    <w:unhideWhenUsed/>
    <w:qFormat/>
    <w:rsid w:val="009E1163"/>
    <w:pPr>
      <w:keepNext/>
      <w:keepLines/>
      <w:numPr>
        <w:ilvl w:val="4"/>
        <w:numId w:val="7"/>
      </w:numPr>
      <w:spacing w:after="40" w:line="240" w:lineRule="auto"/>
      <w:outlineLvl w:val="4"/>
    </w:pPr>
    <w:rPr>
      <w:rFonts w:asciiTheme="majorHAnsi" w:eastAsiaTheme="majorEastAsia" w:hAnsiTheme="majorHAnsi" w:cstheme="majorBidi"/>
      <w:color w:val="602320" w:themeColor="text2"/>
    </w:rPr>
  </w:style>
  <w:style w:type="paragraph" w:styleId="Heading6">
    <w:name w:val="heading 6"/>
    <w:basedOn w:val="Normal"/>
    <w:next w:val="Normal"/>
    <w:link w:val="Heading6Char"/>
    <w:uiPriority w:val="9"/>
    <w:unhideWhenUsed/>
    <w:qFormat/>
    <w:rsid w:val="009E1163"/>
    <w:pPr>
      <w:keepNext/>
      <w:keepLines/>
      <w:numPr>
        <w:ilvl w:val="5"/>
        <w:numId w:val="7"/>
      </w:numPr>
      <w:spacing w:after="40" w:line="240" w:lineRule="auto"/>
      <w:outlineLvl w:val="5"/>
    </w:pPr>
    <w:rPr>
      <w:rFonts w:asciiTheme="majorHAnsi" w:eastAsiaTheme="majorEastAsia" w:hAnsiTheme="majorHAnsi" w:cstheme="majorBidi"/>
      <w:iCs/>
      <w:color w:val="602320" w:themeColor="text2"/>
    </w:rPr>
  </w:style>
  <w:style w:type="paragraph" w:styleId="Heading7">
    <w:name w:val="heading 7"/>
    <w:basedOn w:val="Normal"/>
    <w:next w:val="Normal"/>
    <w:link w:val="Heading7Char"/>
    <w:uiPriority w:val="9"/>
    <w:unhideWhenUsed/>
    <w:qFormat/>
    <w:rsid w:val="009E1163"/>
    <w:pPr>
      <w:keepNext/>
      <w:keepLines/>
      <w:numPr>
        <w:ilvl w:val="6"/>
        <w:numId w:val="7"/>
      </w:numPr>
      <w:spacing w:after="40" w:line="240" w:lineRule="auto"/>
      <w:outlineLvl w:val="6"/>
    </w:pPr>
    <w:rPr>
      <w:rFonts w:asciiTheme="majorHAnsi" w:eastAsiaTheme="majorEastAsia" w:hAnsiTheme="majorHAnsi" w:cstheme="majorBidi"/>
      <w:iCs/>
      <w:color w:val="602320" w:themeColor="text2"/>
    </w:rPr>
  </w:style>
  <w:style w:type="paragraph" w:styleId="Heading8">
    <w:name w:val="heading 8"/>
    <w:basedOn w:val="Normal"/>
    <w:next w:val="Normal"/>
    <w:link w:val="Heading8Char"/>
    <w:uiPriority w:val="9"/>
    <w:unhideWhenUsed/>
    <w:qFormat/>
    <w:rsid w:val="009E1163"/>
    <w:pPr>
      <w:keepNext/>
      <w:keepLines/>
      <w:numPr>
        <w:ilvl w:val="7"/>
        <w:numId w:val="7"/>
      </w:numPr>
      <w:spacing w:after="40" w:line="240" w:lineRule="auto"/>
      <w:outlineLvl w:val="7"/>
    </w:pPr>
    <w:rPr>
      <w:rFonts w:asciiTheme="majorHAnsi" w:eastAsiaTheme="majorEastAsia" w:hAnsiTheme="majorHAnsi" w:cstheme="majorBidi"/>
      <w:color w:val="602320" w:themeColor="text2"/>
    </w:rPr>
  </w:style>
  <w:style w:type="paragraph" w:styleId="Heading9">
    <w:name w:val="heading 9"/>
    <w:basedOn w:val="Normal"/>
    <w:next w:val="Normal"/>
    <w:link w:val="Heading9Char"/>
    <w:uiPriority w:val="9"/>
    <w:unhideWhenUsed/>
    <w:qFormat/>
    <w:rsid w:val="009E1163"/>
    <w:pPr>
      <w:keepNext/>
      <w:keepLines/>
      <w:numPr>
        <w:ilvl w:val="8"/>
        <w:numId w:val="7"/>
      </w:numPr>
      <w:spacing w:after="40" w:line="240" w:lineRule="auto"/>
      <w:outlineLvl w:val="8"/>
    </w:pPr>
    <w:rPr>
      <w:rFonts w:asciiTheme="majorHAnsi" w:eastAsiaTheme="majorEastAsia" w:hAnsiTheme="majorHAnsi" w:cstheme="majorBidi"/>
      <w:iCs/>
      <w:color w:val="60232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E1163"/>
  </w:style>
  <w:style w:type="character" w:customStyle="1" w:styleId="BodyTextChar">
    <w:name w:val="Body Text Char"/>
    <w:basedOn w:val="DefaultParagraphFont"/>
    <w:link w:val="BodyText"/>
    <w:rsid w:val="009E1163"/>
  </w:style>
  <w:style w:type="paragraph" w:customStyle="1" w:styleId="BodySingle">
    <w:name w:val="Body Single"/>
    <w:basedOn w:val="BodyText"/>
    <w:link w:val="BodySingleChar"/>
    <w:uiPriority w:val="1"/>
    <w:qFormat/>
    <w:rsid w:val="009E1163"/>
    <w:pPr>
      <w:spacing w:after="0"/>
    </w:pPr>
  </w:style>
  <w:style w:type="paragraph" w:styleId="Header">
    <w:name w:val="header"/>
    <w:basedOn w:val="Normal"/>
    <w:link w:val="HeaderChar"/>
    <w:uiPriority w:val="99"/>
    <w:unhideWhenUsed/>
    <w:rsid w:val="009E1163"/>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9E1163"/>
  </w:style>
  <w:style w:type="character" w:customStyle="1" w:styleId="HeaderChar">
    <w:name w:val="Header Char"/>
    <w:basedOn w:val="DefaultParagraphFont"/>
    <w:link w:val="Header"/>
    <w:uiPriority w:val="99"/>
    <w:rsid w:val="009E1163"/>
    <w:rPr>
      <w:rFonts w:asciiTheme="minorHAnsi" w:hAnsiTheme="minorHAnsi"/>
      <w:sz w:val="19"/>
    </w:rPr>
  </w:style>
  <w:style w:type="paragraph" w:styleId="Footer">
    <w:name w:val="footer"/>
    <w:basedOn w:val="Normal"/>
    <w:link w:val="FooterChar"/>
    <w:uiPriority w:val="99"/>
    <w:unhideWhenUsed/>
    <w:rsid w:val="009E1163"/>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9E1163"/>
    <w:rPr>
      <w:rFonts w:asciiTheme="minorHAnsi" w:hAnsiTheme="minorHAnsi"/>
      <w:sz w:val="19"/>
    </w:rPr>
  </w:style>
  <w:style w:type="character" w:customStyle="1" w:styleId="Heading1Char">
    <w:name w:val="Heading 1 Char"/>
    <w:basedOn w:val="DefaultParagraphFont"/>
    <w:link w:val="Heading1"/>
    <w:uiPriority w:val="9"/>
    <w:rsid w:val="009E1163"/>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9E1163"/>
    <w:rPr>
      <w:rFonts w:asciiTheme="majorHAnsi" w:eastAsiaTheme="majorEastAsia" w:hAnsiTheme="majorHAnsi" w:cstheme="majorBidi"/>
      <w:b/>
      <w:bCs/>
      <w:i/>
      <w:color w:val="602320" w:themeColor="text2"/>
      <w:sz w:val="32"/>
      <w:szCs w:val="26"/>
    </w:rPr>
  </w:style>
  <w:style w:type="character" w:customStyle="1" w:styleId="Heading3Char">
    <w:name w:val="Heading 3 Char"/>
    <w:basedOn w:val="DefaultParagraphFont"/>
    <w:link w:val="Heading3"/>
    <w:uiPriority w:val="9"/>
    <w:rsid w:val="009E1163"/>
    <w:rPr>
      <w:rFonts w:asciiTheme="majorHAnsi" w:eastAsiaTheme="majorEastAsia" w:hAnsiTheme="majorHAnsi" w:cstheme="majorBidi"/>
      <w:bCs/>
      <w:i/>
      <w:color w:val="602320" w:themeColor="text2"/>
      <w:sz w:val="32"/>
    </w:rPr>
  </w:style>
  <w:style w:type="character" w:customStyle="1" w:styleId="Heading4Char">
    <w:name w:val="Heading 4 Char"/>
    <w:basedOn w:val="DefaultParagraphFont"/>
    <w:link w:val="Heading4"/>
    <w:uiPriority w:val="9"/>
    <w:rsid w:val="009E1163"/>
    <w:rPr>
      <w:rFonts w:asciiTheme="majorHAnsi" w:eastAsiaTheme="majorEastAsia" w:hAnsiTheme="majorHAnsi" w:cstheme="majorBidi"/>
      <w:bCs/>
      <w:iCs/>
      <w:color w:val="602320" w:themeColor="text2"/>
      <w:sz w:val="32"/>
    </w:rPr>
  </w:style>
  <w:style w:type="character" w:customStyle="1" w:styleId="Heading5Char">
    <w:name w:val="Heading 5 Char"/>
    <w:basedOn w:val="DefaultParagraphFont"/>
    <w:link w:val="Heading5"/>
    <w:uiPriority w:val="9"/>
    <w:rsid w:val="009E1163"/>
    <w:rPr>
      <w:rFonts w:asciiTheme="majorHAnsi" w:eastAsiaTheme="majorEastAsia" w:hAnsiTheme="majorHAnsi" w:cstheme="majorBidi"/>
      <w:color w:val="602320" w:themeColor="text2"/>
    </w:rPr>
  </w:style>
  <w:style w:type="paragraph" w:styleId="Title">
    <w:name w:val="Title"/>
    <w:basedOn w:val="Normal"/>
    <w:next w:val="Subtitle"/>
    <w:link w:val="TitleChar"/>
    <w:uiPriority w:val="10"/>
    <w:qFormat/>
    <w:rsid w:val="009E1163"/>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9E1163"/>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9E1163"/>
    <w:pPr>
      <w:outlineLvl w:val="9"/>
    </w:pPr>
    <w:rPr>
      <w:lang w:val="en-US"/>
    </w:rPr>
  </w:style>
  <w:style w:type="paragraph" w:styleId="Subtitle">
    <w:name w:val="Subtitle"/>
    <w:basedOn w:val="Normal"/>
    <w:next w:val="Normal"/>
    <w:link w:val="SubtitleChar"/>
    <w:uiPriority w:val="11"/>
    <w:qFormat/>
    <w:rsid w:val="009E1163"/>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9E1163"/>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qFormat/>
    <w:rsid w:val="009E1163"/>
    <w:pPr>
      <w:pBdr>
        <w:top w:val="single" w:sz="8" w:space="4" w:color="602320" w:themeColor="text2"/>
      </w:pBdr>
      <w:spacing w:before="120" w:after="120"/>
      <w:ind w:left="284" w:hanging="284"/>
    </w:pPr>
  </w:style>
  <w:style w:type="paragraph" w:styleId="TOC2">
    <w:name w:val="toc 2"/>
    <w:basedOn w:val="Normal"/>
    <w:next w:val="Normal"/>
    <w:autoRedefine/>
    <w:uiPriority w:val="39"/>
    <w:unhideWhenUsed/>
    <w:qFormat/>
    <w:rsid w:val="009E1163"/>
    <w:pPr>
      <w:pBdr>
        <w:top w:val="dotted" w:sz="8" w:space="4" w:color="602320" w:themeColor="text2"/>
      </w:pBdr>
      <w:spacing w:before="120" w:after="120"/>
      <w:ind w:left="284" w:hanging="284"/>
    </w:pPr>
  </w:style>
  <w:style w:type="paragraph" w:styleId="TOC3">
    <w:name w:val="toc 3"/>
    <w:basedOn w:val="Normal"/>
    <w:next w:val="Normal"/>
    <w:autoRedefine/>
    <w:uiPriority w:val="39"/>
    <w:unhideWhenUsed/>
    <w:qFormat/>
    <w:rsid w:val="009E1163"/>
    <w:pPr>
      <w:spacing w:before="120" w:after="120"/>
      <w:ind w:left="568" w:hanging="284"/>
    </w:pPr>
  </w:style>
  <w:style w:type="character" w:styleId="Hyperlink">
    <w:name w:val="Hyperlink"/>
    <w:basedOn w:val="DefaultParagraphFont"/>
    <w:uiPriority w:val="99"/>
    <w:unhideWhenUsed/>
    <w:rsid w:val="009E1163"/>
    <w:rPr>
      <w:color w:val="602320" w:themeColor="hyperlink"/>
      <w:u w:val="single"/>
    </w:rPr>
  </w:style>
  <w:style w:type="paragraph" w:styleId="BalloonText">
    <w:name w:val="Balloon Text"/>
    <w:basedOn w:val="Normal"/>
    <w:link w:val="BalloonTextChar"/>
    <w:uiPriority w:val="99"/>
    <w:semiHidden/>
    <w:unhideWhenUsed/>
    <w:rsid w:val="009E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63"/>
    <w:rPr>
      <w:rFonts w:ascii="Tahoma" w:hAnsi="Tahoma" w:cs="Tahoma"/>
      <w:sz w:val="16"/>
      <w:szCs w:val="16"/>
    </w:rPr>
  </w:style>
  <w:style w:type="paragraph" w:styleId="ListBullet">
    <w:name w:val="List Bullet"/>
    <w:basedOn w:val="Normal"/>
    <w:uiPriority w:val="13"/>
    <w:unhideWhenUsed/>
    <w:qFormat/>
    <w:rsid w:val="009E1163"/>
    <w:pPr>
      <w:numPr>
        <w:numId w:val="4"/>
      </w:numPr>
      <w:contextualSpacing/>
    </w:pPr>
  </w:style>
  <w:style w:type="numbering" w:customStyle="1" w:styleId="PwCListBullets1">
    <w:name w:val="PwC List Bullets 1"/>
    <w:uiPriority w:val="99"/>
    <w:rsid w:val="009E1163"/>
    <w:pPr>
      <w:numPr>
        <w:numId w:val="1"/>
      </w:numPr>
    </w:pPr>
  </w:style>
  <w:style w:type="numbering" w:customStyle="1" w:styleId="PwCListNumbers1">
    <w:name w:val="PwC List Numbers 1"/>
    <w:uiPriority w:val="99"/>
    <w:rsid w:val="009E1163"/>
    <w:pPr>
      <w:numPr>
        <w:numId w:val="2"/>
      </w:numPr>
    </w:pPr>
  </w:style>
  <w:style w:type="paragraph" w:styleId="ListNumber">
    <w:name w:val="List Number"/>
    <w:basedOn w:val="Normal"/>
    <w:uiPriority w:val="13"/>
    <w:unhideWhenUsed/>
    <w:qFormat/>
    <w:rsid w:val="009E1163"/>
    <w:pPr>
      <w:numPr>
        <w:numId w:val="3"/>
      </w:numPr>
      <w:contextualSpacing/>
    </w:pPr>
  </w:style>
  <w:style w:type="paragraph" w:styleId="ListBullet2">
    <w:name w:val="List Bullet 2"/>
    <w:basedOn w:val="Normal"/>
    <w:uiPriority w:val="13"/>
    <w:unhideWhenUsed/>
    <w:qFormat/>
    <w:rsid w:val="009E1163"/>
    <w:pPr>
      <w:numPr>
        <w:ilvl w:val="1"/>
        <w:numId w:val="4"/>
      </w:numPr>
      <w:contextualSpacing/>
    </w:pPr>
  </w:style>
  <w:style w:type="paragraph" w:styleId="ListBullet3">
    <w:name w:val="List Bullet 3"/>
    <w:basedOn w:val="Normal"/>
    <w:uiPriority w:val="13"/>
    <w:unhideWhenUsed/>
    <w:qFormat/>
    <w:rsid w:val="009E1163"/>
    <w:pPr>
      <w:numPr>
        <w:ilvl w:val="2"/>
        <w:numId w:val="4"/>
      </w:numPr>
      <w:contextualSpacing/>
    </w:pPr>
  </w:style>
  <w:style w:type="paragraph" w:styleId="ListBullet4">
    <w:name w:val="List Bullet 4"/>
    <w:basedOn w:val="Normal"/>
    <w:uiPriority w:val="13"/>
    <w:unhideWhenUsed/>
    <w:rsid w:val="009E1163"/>
    <w:pPr>
      <w:numPr>
        <w:ilvl w:val="3"/>
        <w:numId w:val="4"/>
      </w:numPr>
      <w:contextualSpacing/>
    </w:pPr>
  </w:style>
  <w:style w:type="paragraph" w:styleId="ListBullet5">
    <w:name w:val="List Bullet 5"/>
    <w:basedOn w:val="Normal"/>
    <w:uiPriority w:val="13"/>
    <w:unhideWhenUsed/>
    <w:rsid w:val="009E1163"/>
    <w:pPr>
      <w:numPr>
        <w:ilvl w:val="4"/>
        <w:numId w:val="4"/>
      </w:numPr>
      <w:contextualSpacing/>
    </w:pPr>
  </w:style>
  <w:style w:type="paragraph" w:styleId="ListNumber2">
    <w:name w:val="List Number 2"/>
    <w:basedOn w:val="Normal"/>
    <w:uiPriority w:val="13"/>
    <w:unhideWhenUsed/>
    <w:qFormat/>
    <w:rsid w:val="009E1163"/>
    <w:pPr>
      <w:numPr>
        <w:ilvl w:val="1"/>
        <w:numId w:val="3"/>
      </w:numPr>
      <w:contextualSpacing/>
    </w:pPr>
  </w:style>
  <w:style w:type="paragraph" w:styleId="ListNumber3">
    <w:name w:val="List Number 3"/>
    <w:basedOn w:val="Normal"/>
    <w:uiPriority w:val="13"/>
    <w:unhideWhenUsed/>
    <w:qFormat/>
    <w:rsid w:val="009E1163"/>
    <w:pPr>
      <w:numPr>
        <w:ilvl w:val="2"/>
        <w:numId w:val="3"/>
      </w:numPr>
      <w:contextualSpacing/>
    </w:pPr>
  </w:style>
  <w:style w:type="paragraph" w:styleId="ListNumber4">
    <w:name w:val="List Number 4"/>
    <w:basedOn w:val="Normal"/>
    <w:uiPriority w:val="13"/>
    <w:unhideWhenUsed/>
    <w:rsid w:val="009E1163"/>
    <w:pPr>
      <w:numPr>
        <w:ilvl w:val="3"/>
        <w:numId w:val="3"/>
      </w:numPr>
      <w:contextualSpacing/>
    </w:pPr>
  </w:style>
  <w:style w:type="paragraph" w:styleId="ListNumber5">
    <w:name w:val="List Number 5"/>
    <w:basedOn w:val="Normal"/>
    <w:uiPriority w:val="13"/>
    <w:unhideWhenUsed/>
    <w:rsid w:val="009E1163"/>
    <w:pPr>
      <w:numPr>
        <w:ilvl w:val="4"/>
        <w:numId w:val="3"/>
      </w:numPr>
      <w:contextualSpacing/>
    </w:pPr>
  </w:style>
  <w:style w:type="paragraph" w:styleId="List">
    <w:name w:val="List"/>
    <w:basedOn w:val="Normal"/>
    <w:uiPriority w:val="99"/>
    <w:semiHidden/>
    <w:unhideWhenUsed/>
    <w:rsid w:val="009E1163"/>
    <w:pPr>
      <w:ind w:left="567" w:hanging="567"/>
      <w:contextualSpacing/>
    </w:pPr>
  </w:style>
  <w:style w:type="paragraph" w:styleId="List2">
    <w:name w:val="List 2"/>
    <w:basedOn w:val="Normal"/>
    <w:uiPriority w:val="99"/>
    <w:semiHidden/>
    <w:unhideWhenUsed/>
    <w:rsid w:val="009E1163"/>
    <w:pPr>
      <w:ind w:left="1134" w:hanging="567"/>
      <w:contextualSpacing/>
    </w:pPr>
  </w:style>
  <w:style w:type="paragraph" w:styleId="ListContinue">
    <w:name w:val="List Continue"/>
    <w:basedOn w:val="Normal"/>
    <w:uiPriority w:val="14"/>
    <w:unhideWhenUsed/>
    <w:qFormat/>
    <w:rsid w:val="009E1163"/>
    <w:pPr>
      <w:spacing w:after="120"/>
      <w:ind w:left="567"/>
      <w:contextualSpacing/>
    </w:pPr>
  </w:style>
  <w:style w:type="paragraph" w:styleId="ListContinue2">
    <w:name w:val="List Continue 2"/>
    <w:basedOn w:val="Normal"/>
    <w:uiPriority w:val="14"/>
    <w:unhideWhenUsed/>
    <w:qFormat/>
    <w:rsid w:val="009E1163"/>
    <w:pPr>
      <w:spacing w:after="120"/>
      <w:ind w:left="1134"/>
      <w:contextualSpacing/>
    </w:pPr>
  </w:style>
  <w:style w:type="paragraph" w:styleId="ListContinue3">
    <w:name w:val="List Continue 3"/>
    <w:basedOn w:val="Normal"/>
    <w:uiPriority w:val="14"/>
    <w:unhideWhenUsed/>
    <w:qFormat/>
    <w:rsid w:val="009E1163"/>
    <w:pPr>
      <w:spacing w:after="120"/>
      <w:ind w:left="1701"/>
      <w:contextualSpacing/>
    </w:pPr>
  </w:style>
  <w:style w:type="paragraph" w:styleId="ListContinue4">
    <w:name w:val="List Continue 4"/>
    <w:basedOn w:val="Normal"/>
    <w:uiPriority w:val="14"/>
    <w:semiHidden/>
    <w:unhideWhenUsed/>
    <w:rsid w:val="009E1163"/>
    <w:pPr>
      <w:spacing w:after="120"/>
      <w:ind w:left="2268"/>
      <w:contextualSpacing/>
    </w:pPr>
  </w:style>
  <w:style w:type="paragraph" w:styleId="ListContinue5">
    <w:name w:val="List Continue 5"/>
    <w:basedOn w:val="Normal"/>
    <w:uiPriority w:val="14"/>
    <w:semiHidden/>
    <w:unhideWhenUsed/>
    <w:rsid w:val="009E1163"/>
    <w:pPr>
      <w:spacing w:after="120"/>
      <w:ind w:left="2835"/>
      <w:contextualSpacing/>
    </w:pPr>
  </w:style>
  <w:style w:type="paragraph" w:styleId="List3">
    <w:name w:val="List 3"/>
    <w:basedOn w:val="Normal"/>
    <w:uiPriority w:val="99"/>
    <w:semiHidden/>
    <w:unhideWhenUsed/>
    <w:rsid w:val="009E1163"/>
    <w:pPr>
      <w:ind w:left="1701" w:hanging="567"/>
      <w:contextualSpacing/>
    </w:pPr>
  </w:style>
  <w:style w:type="paragraph" w:styleId="List4">
    <w:name w:val="List 4"/>
    <w:basedOn w:val="Normal"/>
    <w:uiPriority w:val="99"/>
    <w:semiHidden/>
    <w:unhideWhenUsed/>
    <w:rsid w:val="009E1163"/>
    <w:pPr>
      <w:ind w:left="2268" w:hanging="567"/>
      <w:contextualSpacing/>
    </w:pPr>
  </w:style>
  <w:style w:type="paragraph" w:styleId="List5">
    <w:name w:val="List 5"/>
    <w:basedOn w:val="Normal"/>
    <w:uiPriority w:val="99"/>
    <w:semiHidden/>
    <w:unhideWhenUsed/>
    <w:rsid w:val="009E1163"/>
    <w:pPr>
      <w:ind w:left="2835" w:hanging="567"/>
      <w:contextualSpacing/>
    </w:pPr>
  </w:style>
  <w:style w:type="table" w:styleId="TableGrid">
    <w:name w:val="Table Grid"/>
    <w:basedOn w:val="TableNormal"/>
    <w:rsid w:val="009E1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9E1163"/>
    <w:pPr>
      <w:tabs>
        <w:tab w:val="decimal" w:pos="1134"/>
      </w:tabs>
      <w:spacing w:before="60" w:after="60" w:line="240" w:lineRule="auto"/>
    </w:pPr>
    <w:rPr>
      <w:rFonts w:asciiTheme="minorHAnsi" w:hAnsiTheme="minorHAnsi"/>
    </w:rPr>
    <w:tblPr>
      <w:tblBorders>
        <w:insideH w:val="dotted" w:sz="4" w:space="0" w:color="602320" w:themeColor="text2"/>
      </w:tblBorders>
    </w:tblPr>
    <w:tblStylePr w:type="firstRow">
      <w:rPr>
        <w:b/>
      </w:rPr>
      <w:tblPr/>
      <w:tcPr>
        <w:tcBorders>
          <w:top w:val="single" w:sz="6" w:space="0" w:color="602320" w:themeColor="text2"/>
          <w:left w:val="nil"/>
          <w:bottom w:val="single" w:sz="6" w:space="0" w:color="60232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602320" w:themeColor="text2"/>
          <w:left w:val="nil"/>
          <w:bottom w:val="single" w:sz="6" w:space="0" w:color="602320" w:themeColor="text2"/>
          <w:right w:val="nil"/>
          <w:insideH w:val="nil"/>
          <w:insideV w:val="nil"/>
          <w:tl2br w:val="nil"/>
          <w:tr2bl w:val="nil"/>
        </w:tcBorders>
      </w:tcPr>
    </w:tblStylePr>
  </w:style>
  <w:style w:type="table" w:customStyle="1" w:styleId="PwCTableText">
    <w:name w:val="PwC Table Text"/>
    <w:basedOn w:val="TableNormal"/>
    <w:uiPriority w:val="99"/>
    <w:qFormat/>
    <w:rsid w:val="009E1163"/>
    <w:pPr>
      <w:spacing w:before="60" w:after="60" w:line="240" w:lineRule="auto"/>
    </w:pPr>
    <w:tblPr>
      <w:tblStyleRowBandSize w:val="1"/>
      <w:tblBorders>
        <w:insideH w:val="dotted" w:sz="4" w:space="0" w:color="602320" w:themeColor="text2"/>
      </w:tblBorders>
    </w:tblPr>
    <w:tblStylePr w:type="firstRow">
      <w:rPr>
        <w:b/>
      </w:rPr>
      <w:tblPr/>
      <w:tcPr>
        <w:tcBorders>
          <w:top w:val="single" w:sz="6" w:space="0" w:color="602320" w:themeColor="text2"/>
          <w:bottom w:val="single" w:sz="6" w:space="0" w:color="602320" w:themeColor="text2"/>
        </w:tcBorders>
      </w:tcPr>
    </w:tblStylePr>
    <w:tblStylePr w:type="lastRow">
      <w:rPr>
        <w:b/>
      </w:rPr>
      <w:tblPr/>
      <w:tcPr>
        <w:tcBorders>
          <w:top w:val="single" w:sz="6" w:space="0" w:color="602320" w:themeColor="text2"/>
          <w:bottom w:val="single" w:sz="6" w:space="0" w:color="60232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9E1163"/>
    <w:rPr>
      <w:b w:val="0"/>
      <w:i w:val="0"/>
    </w:rPr>
  </w:style>
  <w:style w:type="paragraph" w:customStyle="1" w:styleId="Heading1NoSpacing">
    <w:name w:val="Heading 1 No Spacing"/>
    <w:basedOn w:val="Heading1"/>
    <w:next w:val="Heading2"/>
    <w:link w:val="Heading1NoSpacingChar"/>
    <w:uiPriority w:val="9"/>
    <w:qFormat/>
    <w:rsid w:val="009E1163"/>
    <w:pPr>
      <w:spacing w:after="0"/>
    </w:pPr>
  </w:style>
  <w:style w:type="character" w:customStyle="1" w:styleId="Heading1NoSpacingChar">
    <w:name w:val="Heading 1 No Spacing Char"/>
    <w:basedOn w:val="Heading1Char"/>
    <w:link w:val="Heading1NoSpacing"/>
    <w:uiPriority w:val="9"/>
    <w:rsid w:val="009E1163"/>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rsid w:val="009E1163"/>
    <w:rPr>
      <w:rFonts w:asciiTheme="majorHAnsi" w:eastAsiaTheme="majorEastAsia" w:hAnsiTheme="majorHAnsi" w:cstheme="majorBidi"/>
      <w:iCs/>
      <w:color w:val="602320" w:themeColor="text2"/>
    </w:rPr>
  </w:style>
  <w:style w:type="character" w:customStyle="1" w:styleId="Heading7Char">
    <w:name w:val="Heading 7 Char"/>
    <w:basedOn w:val="DefaultParagraphFont"/>
    <w:link w:val="Heading7"/>
    <w:uiPriority w:val="9"/>
    <w:rsid w:val="009E1163"/>
    <w:rPr>
      <w:rFonts w:asciiTheme="majorHAnsi" w:eastAsiaTheme="majorEastAsia" w:hAnsiTheme="majorHAnsi" w:cstheme="majorBidi"/>
      <w:iCs/>
      <w:color w:val="602320" w:themeColor="text2"/>
    </w:rPr>
  </w:style>
  <w:style w:type="character" w:customStyle="1" w:styleId="Heading8Char">
    <w:name w:val="Heading 8 Char"/>
    <w:basedOn w:val="DefaultParagraphFont"/>
    <w:link w:val="Heading8"/>
    <w:uiPriority w:val="9"/>
    <w:rsid w:val="009E1163"/>
    <w:rPr>
      <w:rFonts w:asciiTheme="majorHAnsi" w:eastAsiaTheme="majorEastAsia" w:hAnsiTheme="majorHAnsi" w:cstheme="majorBidi"/>
      <w:color w:val="602320" w:themeColor="text2"/>
    </w:rPr>
  </w:style>
  <w:style w:type="character" w:customStyle="1" w:styleId="Heading9Char">
    <w:name w:val="Heading 9 Char"/>
    <w:basedOn w:val="DefaultParagraphFont"/>
    <w:link w:val="Heading9"/>
    <w:uiPriority w:val="9"/>
    <w:rsid w:val="009E1163"/>
    <w:rPr>
      <w:rFonts w:asciiTheme="majorHAnsi" w:eastAsiaTheme="majorEastAsia" w:hAnsiTheme="majorHAnsi" w:cstheme="majorBidi"/>
      <w:iCs/>
      <w:color w:val="602320" w:themeColor="text2"/>
    </w:rPr>
  </w:style>
  <w:style w:type="paragraph" w:styleId="TOC4">
    <w:name w:val="toc 4"/>
    <w:basedOn w:val="Normal"/>
    <w:next w:val="Normal"/>
    <w:autoRedefine/>
    <w:uiPriority w:val="39"/>
    <w:unhideWhenUsed/>
    <w:rsid w:val="009E1163"/>
    <w:pPr>
      <w:spacing w:after="120"/>
      <w:ind w:left="851" w:hanging="284"/>
    </w:pPr>
  </w:style>
  <w:style w:type="paragraph" w:styleId="TOC5">
    <w:name w:val="toc 5"/>
    <w:basedOn w:val="Normal"/>
    <w:next w:val="Normal"/>
    <w:autoRedefine/>
    <w:uiPriority w:val="39"/>
    <w:unhideWhenUsed/>
    <w:rsid w:val="009E1163"/>
    <w:pPr>
      <w:spacing w:after="120"/>
      <w:ind w:left="1135" w:hanging="284"/>
    </w:pPr>
  </w:style>
  <w:style w:type="paragraph" w:styleId="TOC6">
    <w:name w:val="toc 6"/>
    <w:basedOn w:val="Normal"/>
    <w:next w:val="Normal"/>
    <w:autoRedefine/>
    <w:uiPriority w:val="39"/>
    <w:semiHidden/>
    <w:unhideWhenUsed/>
    <w:rsid w:val="009E1163"/>
    <w:pPr>
      <w:spacing w:after="120"/>
      <w:ind w:left="1418" w:hanging="284"/>
    </w:pPr>
  </w:style>
  <w:style w:type="paragraph" w:styleId="TOC7">
    <w:name w:val="toc 7"/>
    <w:basedOn w:val="Normal"/>
    <w:next w:val="Normal"/>
    <w:autoRedefine/>
    <w:uiPriority w:val="39"/>
    <w:semiHidden/>
    <w:unhideWhenUsed/>
    <w:rsid w:val="009E1163"/>
    <w:pPr>
      <w:spacing w:after="120"/>
      <w:ind w:left="1702" w:hanging="284"/>
    </w:pPr>
  </w:style>
  <w:style w:type="paragraph" w:styleId="TOC8">
    <w:name w:val="toc 8"/>
    <w:basedOn w:val="Normal"/>
    <w:next w:val="Normal"/>
    <w:autoRedefine/>
    <w:uiPriority w:val="39"/>
    <w:semiHidden/>
    <w:unhideWhenUsed/>
    <w:rsid w:val="009E1163"/>
    <w:pPr>
      <w:spacing w:after="120"/>
      <w:ind w:left="1985" w:hanging="284"/>
    </w:pPr>
  </w:style>
  <w:style w:type="paragraph" w:styleId="TOC9">
    <w:name w:val="toc 9"/>
    <w:basedOn w:val="Normal"/>
    <w:next w:val="Normal"/>
    <w:autoRedefine/>
    <w:uiPriority w:val="39"/>
    <w:semiHidden/>
    <w:unhideWhenUsed/>
    <w:rsid w:val="009E1163"/>
    <w:pPr>
      <w:spacing w:after="120"/>
      <w:ind w:left="2269" w:hanging="284"/>
    </w:pPr>
  </w:style>
  <w:style w:type="character" w:styleId="Emphasis">
    <w:name w:val="Emphasis"/>
    <w:basedOn w:val="DefaultParagraphFont"/>
    <w:uiPriority w:val="20"/>
    <w:qFormat/>
    <w:rsid w:val="00A368CD"/>
    <w:rPr>
      <w:i/>
      <w:iCs/>
      <w:lang w:val="en-GB"/>
    </w:rPr>
  </w:style>
  <w:style w:type="paragraph" w:styleId="Quote">
    <w:name w:val="Quote"/>
    <w:basedOn w:val="Normal"/>
    <w:next w:val="Normal"/>
    <w:link w:val="QuoteChar"/>
    <w:uiPriority w:val="29"/>
    <w:qFormat/>
    <w:rsid w:val="009E1163"/>
    <w:rPr>
      <w:i/>
      <w:iCs/>
      <w:color w:val="000000" w:themeColor="text1"/>
    </w:rPr>
  </w:style>
  <w:style w:type="character" w:customStyle="1" w:styleId="QuoteChar">
    <w:name w:val="Quote Char"/>
    <w:basedOn w:val="DefaultParagraphFont"/>
    <w:link w:val="Quote"/>
    <w:uiPriority w:val="29"/>
    <w:rsid w:val="009E1163"/>
    <w:rPr>
      <w:i/>
      <w:iCs/>
      <w:color w:val="000000" w:themeColor="text1"/>
    </w:rPr>
  </w:style>
  <w:style w:type="paragraph" w:styleId="BlockText">
    <w:name w:val="Block Text"/>
    <w:basedOn w:val="Normal"/>
    <w:next w:val="BodyText3"/>
    <w:uiPriority w:val="99"/>
    <w:unhideWhenUsed/>
    <w:qFormat/>
    <w:rsid w:val="009E1163"/>
    <w:pPr>
      <w:spacing w:line="240" w:lineRule="auto"/>
    </w:pPr>
    <w:rPr>
      <w:b/>
      <w:i/>
      <w:color w:val="602320" w:themeColor="text2"/>
      <w:sz w:val="48"/>
      <w:szCs w:val="48"/>
    </w:rPr>
  </w:style>
  <w:style w:type="paragraph" w:customStyle="1" w:styleId="BlockText2">
    <w:name w:val="Block Text 2"/>
    <w:basedOn w:val="Normal"/>
    <w:uiPriority w:val="99"/>
    <w:qFormat/>
    <w:rsid w:val="009E1163"/>
    <w:pPr>
      <w:pBdr>
        <w:top w:val="single" w:sz="2" w:space="10" w:color="602320" w:themeColor="text2"/>
        <w:left w:val="single" w:sz="2" w:space="10" w:color="602320" w:themeColor="text2"/>
        <w:bottom w:val="single" w:sz="2" w:space="10" w:color="602320" w:themeColor="text2"/>
        <w:right w:val="single" w:sz="2" w:space="10" w:color="602320" w:themeColor="text2"/>
      </w:pBdr>
      <w:shd w:val="clear" w:color="auto" w:fill="60232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9E1163"/>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602320" w:themeColor="accent1"/>
      <w:sz w:val="96"/>
      <w:szCs w:val="20"/>
    </w:rPr>
  </w:style>
  <w:style w:type="paragraph" w:styleId="BodyText3">
    <w:name w:val="Body Text 3"/>
    <w:basedOn w:val="Normal"/>
    <w:link w:val="BodyText3Char"/>
    <w:uiPriority w:val="99"/>
    <w:semiHidden/>
    <w:unhideWhenUsed/>
    <w:rsid w:val="009E1163"/>
    <w:pPr>
      <w:spacing w:after="120"/>
    </w:pPr>
    <w:rPr>
      <w:sz w:val="16"/>
      <w:szCs w:val="16"/>
    </w:rPr>
  </w:style>
  <w:style w:type="character" w:customStyle="1" w:styleId="BodyText3Char">
    <w:name w:val="Body Text 3 Char"/>
    <w:basedOn w:val="DefaultParagraphFont"/>
    <w:link w:val="BodyText3"/>
    <w:uiPriority w:val="99"/>
    <w:semiHidden/>
    <w:rsid w:val="009E1163"/>
    <w:rPr>
      <w:sz w:val="16"/>
      <w:szCs w:val="16"/>
    </w:rPr>
  </w:style>
  <w:style w:type="numbering" w:customStyle="1" w:styleId="Style1">
    <w:name w:val="Style1"/>
    <w:uiPriority w:val="99"/>
    <w:rsid w:val="009B1E5A"/>
    <w:pPr>
      <w:numPr>
        <w:numId w:val="5"/>
      </w:numPr>
    </w:pPr>
  </w:style>
  <w:style w:type="paragraph" w:styleId="ListParagraph">
    <w:name w:val="List Paragraph"/>
    <w:aliases w:val="Syle 1,Normal bullet 2,Bullet list"/>
    <w:basedOn w:val="Normal"/>
    <w:link w:val="ListParagraphChar"/>
    <w:uiPriority w:val="99"/>
    <w:qFormat/>
    <w:rsid w:val="00E42FD5"/>
    <w:pPr>
      <w:ind w:left="720"/>
      <w:contextualSpacing/>
    </w:pPr>
  </w:style>
  <w:style w:type="paragraph" w:styleId="NormalWeb">
    <w:name w:val="Normal (Web)"/>
    <w:basedOn w:val="Normal"/>
    <w:uiPriority w:val="99"/>
    <w:unhideWhenUsed/>
    <w:rsid w:val="005D17B9"/>
    <w:rPr>
      <w:rFonts w:ascii="Times New Roman" w:hAnsi="Times New Roman" w:cs="Times New Roman"/>
      <w:sz w:val="24"/>
      <w:szCs w:val="24"/>
    </w:rPr>
  </w:style>
  <w:style w:type="paragraph" w:customStyle="1" w:styleId="tv213">
    <w:name w:val="tv213"/>
    <w:basedOn w:val="Normal"/>
    <w:rsid w:val="00FC5C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533E"/>
    <w:rPr>
      <w:sz w:val="16"/>
      <w:szCs w:val="16"/>
    </w:rPr>
  </w:style>
  <w:style w:type="paragraph" w:styleId="CommentText">
    <w:name w:val="annotation text"/>
    <w:basedOn w:val="Normal"/>
    <w:link w:val="CommentTextChar"/>
    <w:uiPriority w:val="99"/>
    <w:semiHidden/>
    <w:unhideWhenUsed/>
    <w:rsid w:val="008D533E"/>
    <w:pPr>
      <w:spacing w:line="240" w:lineRule="auto"/>
    </w:pPr>
  </w:style>
  <w:style w:type="character" w:customStyle="1" w:styleId="CommentTextChar">
    <w:name w:val="Comment Text Char"/>
    <w:basedOn w:val="DefaultParagraphFont"/>
    <w:link w:val="CommentText"/>
    <w:uiPriority w:val="99"/>
    <w:semiHidden/>
    <w:rsid w:val="008D533E"/>
  </w:style>
  <w:style w:type="paragraph" w:styleId="CommentSubject">
    <w:name w:val="annotation subject"/>
    <w:basedOn w:val="CommentText"/>
    <w:next w:val="CommentText"/>
    <w:link w:val="CommentSubjectChar"/>
    <w:uiPriority w:val="99"/>
    <w:semiHidden/>
    <w:unhideWhenUsed/>
    <w:rsid w:val="008D533E"/>
    <w:rPr>
      <w:b/>
      <w:bCs/>
    </w:rPr>
  </w:style>
  <w:style w:type="character" w:customStyle="1" w:styleId="CommentSubjectChar">
    <w:name w:val="Comment Subject Char"/>
    <w:basedOn w:val="CommentTextChar"/>
    <w:link w:val="CommentSubject"/>
    <w:uiPriority w:val="99"/>
    <w:semiHidden/>
    <w:rsid w:val="008D533E"/>
    <w:rPr>
      <w:b/>
      <w:bCs/>
    </w:rPr>
  </w:style>
  <w:style w:type="paragraph" w:styleId="FootnoteText">
    <w:name w:val="footnote text"/>
    <w:basedOn w:val="Normal"/>
    <w:link w:val="FootnoteTextChar"/>
    <w:uiPriority w:val="99"/>
    <w:unhideWhenUsed/>
    <w:rsid w:val="008D533E"/>
    <w:pPr>
      <w:spacing w:after="0" w:line="240" w:lineRule="auto"/>
    </w:pPr>
  </w:style>
  <w:style w:type="character" w:customStyle="1" w:styleId="FootnoteTextChar">
    <w:name w:val="Footnote Text Char"/>
    <w:basedOn w:val="DefaultParagraphFont"/>
    <w:link w:val="FootnoteText"/>
    <w:uiPriority w:val="99"/>
    <w:rsid w:val="008D533E"/>
  </w:style>
  <w:style w:type="character" w:styleId="FootnoteReference">
    <w:name w:val="footnote reference"/>
    <w:basedOn w:val="DefaultParagraphFont"/>
    <w:uiPriority w:val="99"/>
    <w:semiHidden/>
    <w:unhideWhenUsed/>
    <w:rsid w:val="008D533E"/>
    <w:rPr>
      <w:vertAlign w:val="superscript"/>
    </w:rPr>
  </w:style>
  <w:style w:type="table" w:customStyle="1" w:styleId="TableGrid1">
    <w:name w:val="Table Grid1"/>
    <w:basedOn w:val="TableNormal"/>
    <w:next w:val="TableGrid"/>
    <w:rsid w:val="00EF1A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EF1A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EF1A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EF1A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EF1A9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F1A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90290"/>
    <w:pPr>
      <w:spacing w:after="0" w:line="240" w:lineRule="auto"/>
    </w:pPr>
  </w:style>
  <w:style w:type="character" w:customStyle="1" w:styleId="ListParagraphChar">
    <w:name w:val="List Paragraph Char"/>
    <w:aliases w:val="Syle 1 Char,Normal bullet 2 Char,Bullet list Char"/>
    <w:link w:val="ListParagraph"/>
    <w:uiPriority w:val="99"/>
    <w:locked/>
    <w:rsid w:val="008162BC"/>
  </w:style>
  <w:style w:type="table" w:customStyle="1" w:styleId="TableGrid31">
    <w:name w:val="Table Grid31"/>
    <w:basedOn w:val="TableNormal"/>
    <w:next w:val="TableGrid"/>
    <w:rsid w:val="00E33A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isclaimer">
    <w:name w:val="Disclaimer"/>
    <w:basedOn w:val="Normal"/>
    <w:link w:val="DisclaimerChar"/>
    <w:qFormat/>
    <w:rsid w:val="00903332"/>
    <w:pPr>
      <w:spacing w:after="0" w:line="140" w:lineRule="atLeast"/>
    </w:pPr>
    <w:rPr>
      <w:rFonts w:asciiTheme="minorHAnsi" w:hAnsiTheme="minorHAnsi" w:cs="Arial"/>
      <w:noProof/>
      <w:sz w:val="12"/>
      <w:szCs w:val="22"/>
      <w:lang w:eastAsia="en-GB"/>
    </w:rPr>
  </w:style>
  <w:style w:type="character" w:customStyle="1" w:styleId="DisclaimerChar">
    <w:name w:val="Disclaimer Char"/>
    <w:basedOn w:val="DefaultParagraphFont"/>
    <w:link w:val="Disclaimer"/>
    <w:rsid w:val="00903332"/>
    <w:rPr>
      <w:rFonts w:asciiTheme="minorHAnsi" w:hAnsiTheme="minorHAnsi" w:cs="Arial"/>
      <w:noProof/>
      <w:sz w:val="12"/>
      <w:szCs w:val="22"/>
      <w:lang w:eastAsia="en-GB"/>
    </w:rPr>
  </w:style>
  <w:style w:type="paragraph" w:customStyle="1" w:styleId="Address">
    <w:name w:val="Address"/>
    <w:basedOn w:val="Normal"/>
    <w:link w:val="AddressChar"/>
    <w:autoRedefine/>
    <w:qFormat/>
    <w:rsid w:val="00903332"/>
    <w:pPr>
      <w:spacing w:after="0" w:line="220" w:lineRule="atLeast"/>
    </w:pPr>
    <w:rPr>
      <w:i/>
      <w:noProof/>
      <w:sz w:val="18"/>
      <w:szCs w:val="22"/>
      <w:lang w:eastAsia="en-GB"/>
    </w:rPr>
  </w:style>
  <w:style w:type="character" w:customStyle="1" w:styleId="AddressChar">
    <w:name w:val="Address Char"/>
    <w:basedOn w:val="DefaultParagraphFont"/>
    <w:link w:val="Address"/>
    <w:rsid w:val="00903332"/>
    <w:rPr>
      <w:i/>
      <w:noProof/>
      <w:sz w:val="18"/>
      <w:szCs w:val="22"/>
      <w:lang w:eastAsia="en-GB"/>
    </w:rPr>
  </w:style>
  <w:style w:type="character" w:styleId="UnresolvedMention">
    <w:name w:val="Unresolved Mention"/>
    <w:basedOn w:val="DefaultParagraphFont"/>
    <w:uiPriority w:val="99"/>
    <w:semiHidden/>
    <w:unhideWhenUsed/>
    <w:rsid w:val="00E0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7834">
      <w:bodyDiv w:val="1"/>
      <w:marLeft w:val="0"/>
      <w:marRight w:val="0"/>
      <w:marTop w:val="0"/>
      <w:marBottom w:val="0"/>
      <w:divBdr>
        <w:top w:val="none" w:sz="0" w:space="0" w:color="auto"/>
        <w:left w:val="none" w:sz="0" w:space="0" w:color="auto"/>
        <w:bottom w:val="none" w:sz="0" w:space="0" w:color="auto"/>
        <w:right w:val="none" w:sz="0" w:space="0" w:color="auto"/>
      </w:divBdr>
    </w:div>
    <w:div w:id="574511812">
      <w:bodyDiv w:val="1"/>
      <w:marLeft w:val="0"/>
      <w:marRight w:val="0"/>
      <w:marTop w:val="0"/>
      <w:marBottom w:val="0"/>
      <w:divBdr>
        <w:top w:val="none" w:sz="0" w:space="0" w:color="auto"/>
        <w:left w:val="none" w:sz="0" w:space="0" w:color="auto"/>
        <w:bottom w:val="none" w:sz="0" w:space="0" w:color="auto"/>
        <w:right w:val="none" w:sz="0" w:space="0" w:color="auto"/>
      </w:divBdr>
    </w:div>
    <w:div w:id="1302269817">
      <w:bodyDiv w:val="1"/>
      <w:marLeft w:val="0"/>
      <w:marRight w:val="0"/>
      <w:marTop w:val="0"/>
      <w:marBottom w:val="0"/>
      <w:divBdr>
        <w:top w:val="none" w:sz="0" w:space="0" w:color="auto"/>
        <w:left w:val="none" w:sz="0" w:space="0" w:color="auto"/>
        <w:bottom w:val="none" w:sz="0" w:space="0" w:color="auto"/>
        <w:right w:val="none" w:sz="0" w:space="0" w:color="auto"/>
      </w:divBdr>
    </w:div>
    <w:div w:id="1326859903">
      <w:bodyDiv w:val="1"/>
      <w:marLeft w:val="0"/>
      <w:marRight w:val="0"/>
      <w:marTop w:val="0"/>
      <w:marBottom w:val="0"/>
      <w:divBdr>
        <w:top w:val="none" w:sz="0" w:space="0" w:color="auto"/>
        <w:left w:val="none" w:sz="0" w:space="0" w:color="auto"/>
        <w:bottom w:val="none" w:sz="0" w:space="0" w:color="auto"/>
        <w:right w:val="none" w:sz="0" w:space="0" w:color="auto"/>
      </w:divBdr>
    </w:div>
    <w:div w:id="1381249065">
      <w:bodyDiv w:val="1"/>
      <w:marLeft w:val="0"/>
      <w:marRight w:val="0"/>
      <w:marTop w:val="0"/>
      <w:marBottom w:val="0"/>
      <w:divBdr>
        <w:top w:val="none" w:sz="0" w:space="0" w:color="auto"/>
        <w:left w:val="none" w:sz="0" w:space="0" w:color="auto"/>
        <w:bottom w:val="none" w:sz="0" w:space="0" w:color="auto"/>
        <w:right w:val="none" w:sz="0" w:space="0" w:color="auto"/>
      </w:divBdr>
    </w:div>
    <w:div w:id="1463957988">
      <w:bodyDiv w:val="1"/>
      <w:marLeft w:val="0"/>
      <w:marRight w:val="0"/>
      <w:marTop w:val="0"/>
      <w:marBottom w:val="0"/>
      <w:divBdr>
        <w:top w:val="none" w:sz="0" w:space="0" w:color="auto"/>
        <w:left w:val="none" w:sz="0" w:space="0" w:color="auto"/>
        <w:bottom w:val="none" w:sz="0" w:space="0" w:color="auto"/>
        <w:right w:val="none" w:sz="0" w:space="0" w:color="auto"/>
      </w:divBdr>
    </w:div>
    <w:div w:id="1501701946">
      <w:bodyDiv w:val="1"/>
      <w:marLeft w:val="0"/>
      <w:marRight w:val="0"/>
      <w:marTop w:val="0"/>
      <w:marBottom w:val="0"/>
      <w:divBdr>
        <w:top w:val="none" w:sz="0" w:space="0" w:color="auto"/>
        <w:left w:val="none" w:sz="0" w:space="0" w:color="auto"/>
        <w:bottom w:val="none" w:sz="0" w:space="0" w:color="auto"/>
        <w:right w:val="none" w:sz="0" w:space="0" w:color="auto"/>
      </w:divBdr>
    </w:div>
    <w:div w:id="1606231127">
      <w:bodyDiv w:val="1"/>
      <w:marLeft w:val="0"/>
      <w:marRight w:val="0"/>
      <w:marTop w:val="0"/>
      <w:marBottom w:val="0"/>
      <w:divBdr>
        <w:top w:val="none" w:sz="0" w:space="0" w:color="auto"/>
        <w:left w:val="none" w:sz="0" w:space="0" w:color="auto"/>
        <w:bottom w:val="none" w:sz="0" w:space="0" w:color="auto"/>
        <w:right w:val="none" w:sz="0" w:space="0" w:color="auto"/>
      </w:divBdr>
    </w:div>
    <w:div w:id="1661351685">
      <w:bodyDiv w:val="1"/>
      <w:marLeft w:val="0"/>
      <w:marRight w:val="0"/>
      <w:marTop w:val="0"/>
      <w:marBottom w:val="0"/>
      <w:divBdr>
        <w:top w:val="none" w:sz="0" w:space="0" w:color="auto"/>
        <w:left w:val="none" w:sz="0" w:space="0" w:color="auto"/>
        <w:bottom w:val="none" w:sz="0" w:space="0" w:color="auto"/>
        <w:right w:val="none" w:sz="0" w:space="0" w:color="auto"/>
      </w:divBdr>
    </w:div>
    <w:div w:id="18528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lvportals.lv/dienaskartiba/210613-konstitucionalo-tiesibu-komisijas-viedoklis-par-sabiedrisko-elektronisko-plassazinas-lidzeklu-tiesisko-regulejumu-demokratiskas-valsts-iekarta-2010" TargetMode="External"/><Relationship Id="rId18" Type="http://schemas.openxmlformats.org/officeDocument/2006/relationships/hyperlink" Target="https://www.neplpadome.lv/lv/sakums/padome/padomes-sedes/sedes-sadalas/neplp-sabiedrisko-mediju-iziesana-no-reklamas-tirgus-ir-nakama-gada-valsts-galvena-prioritate.html" TargetMode="External"/><Relationship Id="rId26" Type="http://schemas.openxmlformats.org/officeDocument/2006/relationships/hyperlink" Target="https://www.lrt.lt/en/news-in-english/19/1137862/media-funding-law-changes-labelled-censorship-by-lithuania-s-opposition" TargetMode="External"/><Relationship Id="rId3" Type="http://schemas.openxmlformats.org/officeDocument/2006/relationships/hyperlink" Target="https://www.lsm.lv/raksts/zinas/latvija/mediju-eksperti-kritize-deputatu-lemumu-nemainit-sabiedrisko-mediju-finansesanas-modeli.a340036/" TargetMode="External"/><Relationship Id="rId21" Type="http://schemas.openxmlformats.org/officeDocument/2006/relationships/hyperlink" Target="https://www.lsm.lv/raksts/zinas/latvija/mediju-eksperti-kritize-deputatu-lemumu-nemainit-sabiedrisko-mediju-finansesanas-modeli.a340036/" TargetMode="External"/><Relationship Id="rId34" Type="http://schemas.openxmlformats.org/officeDocument/2006/relationships/hyperlink" Target="https://www.pwc.com/gx/en/about/assets/ec-proposals-digital-taxation.pdf" TargetMode="External"/><Relationship Id="rId7" Type="http://schemas.openxmlformats.org/officeDocument/2006/relationships/hyperlink" Target="https://www.lsm.lv/raksts/zinas/latvija/km-rosina-parskatit-reklamas-ierobezojumus-medijiem-un-sakt-diskusiju-par-digitalo-nodokli.a339668/" TargetMode="External"/><Relationship Id="rId12" Type="http://schemas.openxmlformats.org/officeDocument/2006/relationships/hyperlink" Target="https://www.dw.com/en/german-zdf-and-ard-public-broadcasting-household-levy-ruled-constitutional/a-44721576" TargetMode="External"/><Relationship Id="rId17" Type="http://schemas.openxmlformats.org/officeDocument/2006/relationships/hyperlink" Target="https://visegradinsight.eu/making-a-decisive-difference-public-media-latvia/" TargetMode="External"/><Relationship Id="rId25" Type="http://schemas.openxmlformats.org/officeDocument/2006/relationships/hyperlink" Target="https://www.swissinfo.ch/eng/funding-and-debates_how-the-world-s-countries-provide-public-media-/43880294" TargetMode="External"/><Relationship Id="rId33" Type="http://schemas.openxmlformats.org/officeDocument/2006/relationships/hyperlink" Target="https://www.publicmediaalliance.org/changing-times-for-public-media-funding/" TargetMode="External"/><Relationship Id="rId2" Type="http://schemas.openxmlformats.org/officeDocument/2006/relationships/hyperlink" Target="https://site-775587.mozfiles.com/files/775587/Etikas_kodekss_20190227_pdf.pdf?1552826658" TargetMode="External"/><Relationship Id="rId16" Type="http://schemas.openxmlformats.org/officeDocument/2006/relationships/hyperlink" Target="https://www.publicmediaalliance.org/wp-content/uploads/2017/08/Funding-Public-Media-.pdf" TargetMode="External"/><Relationship Id="rId20" Type="http://schemas.openxmlformats.org/officeDocument/2006/relationships/hyperlink" Target="https://www.lsm.lv/raksts/zinas/latvija/jauno-sabiedrisko-mediju-likuma-piedavajumu-eksperti-verte-ka-kompromisu.a337111/" TargetMode="External"/><Relationship Id="rId29" Type="http://schemas.openxmlformats.org/officeDocument/2006/relationships/hyperlink" Target="https://rsf.org/en/2020-world-press-freedom-index-entering-decisive-decade-journalism-exacerbated-coronavirus" TargetMode="External"/><Relationship Id="rId1" Type="http://schemas.openxmlformats.org/officeDocument/2006/relationships/hyperlink" Target="https://library.oapen.org/bitstream/handle/20.500.12657/30508/645611.pdf?sequence=1" TargetMode="External"/><Relationship Id="rId6" Type="http://schemas.openxmlformats.org/officeDocument/2006/relationships/hyperlink" Target="https://www.lsm.lv/raksts/zinas/latvija/mediju-eksperti-kritize-deputatu-lemumu-nemainit-sabiedrisko-mediju-finansesanas-modeli.a340036/" TargetMode="External"/><Relationship Id="rId11" Type="http://schemas.openxmlformats.org/officeDocument/2006/relationships/hyperlink" Target="https://www.ifj.org/who/rules-and-policy/global-charter-of-ethics-for-journalists.html" TargetMode="External"/><Relationship Id="rId24" Type="http://schemas.openxmlformats.org/officeDocument/2006/relationships/hyperlink" Target="http://dspace.lu.lv/dspace/bitstream/handle/7/31329/298-51429-Beitika_Ieva_ib09320.pdf?sequence=1" TargetMode="External"/><Relationship Id="rId32" Type="http://schemas.openxmlformats.org/officeDocument/2006/relationships/hyperlink" Target="https://www.rundfunkbeitrag.de/welcome/englisch/index_ger.html" TargetMode="External"/><Relationship Id="rId5" Type="http://schemas.openxmlformats.org/officeDocument/2006/relationships/hyperlink" Target="https://lvportals.lv/skaidrojumi/322417-jauns-likums-sabiedrisko-mediju-parvaldibai-2020" TargetMode="External"/><Relationship Id="rId15" Type="http://schemas.openxmlformats.org/officeDocument/2006/relationships/hyperlink" Target="https://www.csub.edu/~mault/the%20influence%20and%20effects%20o.pdf" TargetMode="External"/><Relationship Id="rId23" Type="http://schemas.openxmlformats.org/officeDocument/2006/relationships/hyperlink" Target="https://www.satv.tiesa.gov.lv/web/viewer.html?file=https://www.satv.tiesa.gov.lv/wp-content/uploads/2019/11/2019-29-01_Spriedums-1.pdf" TargetMode="External"/><Relationship Id="rId28" Type="http://schemas.openxmlformats.org/officeDocument/2006/relationships/hyperlink" Target="https://www.bti-project.org/en/press.html" TargetMode="External"/><Relationship Id="rId10" Type="http://schemas.openxmlformats.org/officeDocument/2006/relationships/hyperlink" Target="https://www.spj.org/ethicscode.asp" TargetMode="External"/><Relationship Id="rId19" Type="http://schemas.openxmlformats.org/officeDocument/2006/relationships/hyperlink" Target="https://visegradinsight.eu/making-a-decisive-difference-public-media-latvia/" TargetMode="External"/><Relationship Id="rId31" Type="http://schemas.openxmlformats.org/officeDocument/2006/relationships/hyperlink" Target="https://www.coya.com/expats-in-germany/tv-tax-germany" TargetMode="External"/><Relationship Id="rId4" Type="http://schemas.openxmlformats.org/officeDocument/2006/relationships/hyperlink" Target="https://likumi.lv/ta/id/319096-sabiedrisko-elektronisko-plassazinas-lidzeklu-un-to-parvaldibas-likums" TargetMode="External"/><Relationship Id="rId9" Type="http://schemas.openxmlformats.org/officeDocument/2006/relationships/hyperlink" Target="https://www.lsm.lv/raksts/zinas/zinu-analize/ka-arstet-sabiedrisko-mediju-hronisko-naudas-trukumu-un-saraustitos-pieskirumus.a309267/" TargetMode="External"/><Relationship Id="rId14" Type="http://schemas.openxmlformats.org/officeDocument/2006/relationships/hyperlink" Target="https://rm.coe.int/CoERMPublicCommonSearchServices/DisplayDCTMContent?documentId=090000168050c770" TargetMode="External"/><Relationship Id="rId22" Type="http://schemas.openxmlformats.org/officeDocument/2006/relationships/hyperlink" Target="https://www.publicmediaalliance.org/wp-content/uploads/2017/08/Funding-Public-Media-.pdf" TargetMode="External"/><Relationship Id="rId27" Type="http://schemas.openxmlformats.org/officeDocument/2006/relationships/hyperlink" Target="https://baltics.news/2020/11/04/in-lithuania-it-is-legal-to-attract-public-media-funding-to-tax-revenues/" TargetMode="External"/><Relationship Id="rId30" Type="http://schemas.openxmlformats.org/officeDocument/2006/relationships/hyperlink" Target="https://www.thelocal.de/20190327/understanding-germanys-tv-licence-system" TargetMode="External"/><Relationship Id="rId35" Type="http://schemas.openxmlformats.org/officeDocument/2006/relationships/hyperlink" Target="https://www.km.gov.lv/uploads/ckeditor/files/mediju_politika/petijumi/digitalais%20nodoklis/2019-12-18%20Atzinums.pdf" TargetMode="External"/><Relationship Id="rId8" Type="http://schemas.openxmlformats.org/officeDocument/2006/relationships/hyperlink" Target="https://academic.oup.com/joc/article/70/5/744/5916957"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wC%20Templates\PwC%20Word%20Templates%209\Templates\PwC_Report.dotx" TargetMode="External"/></Relationships>
</file>

<file path=word/theme/theme1.xml><?xml version="1.0" encoding="utf-8"?>
<a:theme xmlns:a="http://schemas.openxmlformats.org/drawingml/2006/main" name="PwC">
  <a:themeElements>
    <a:clrScheme name="PwC Maroon">
      <a:dk1>
        <a:srgbClr val="000000"/>
      </a:dk1>
      <a:lt1>
        <a:srgbClr val="FFFFFF"/>
      </a:lt1>
      <a:dk2>
        <a:srgbClr val="602320"/>
      </a:dk2>
      <a:lt2>
        <a:srgbClr val="FFFFFF"/>
      </a:lt2>
      <a:accent1>
        <a:srgbClr val="602320"/>
      </a:accent1>
      <a:accent2>
        <a:srgbClr val="DB536A"/>
      </a:accent2>
      <a:accent3>
        <a:srgbClr val="A32020"/>
      </a:accent3>
      <a:accent4>
        <a:srgbClr val="E0301E"/>
      </a:accent4>
      <a:accent5>
        <a:srgbClr val="DC6900"/>
      </a:accent5>
      <a:accent6>
        <a:srgbClr val="FFB600"/>
      </a:accent6>
      <a:hlink>
        <a:srgbClr val="602320"/>
      </a:hlink>
      <a:folHlink>
        <a:srgbClr val="6023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1218-A939-47C9-A30D-B5A42DFF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PwC_Report.dotx</Template>
  <TotalTime>1</TotalTime>
  <Pages>10</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Benno Butulis</cp:lastModifiedBy>
  <cp:revision>2</cp:revision>
  <cp:lastPrinted>2020-10-02T06:50:00Z</cp:lastPrinted>
  <dcterms:created xsi:type="dcterms:W3CDTF">2020-12-29T19:59:00Z</dcterms:created>
  <dcterms:modified xsi:type="dcterms:W3CDTF">2020-12-29T19:59:00Z</dcterms:modified>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8.1</vt:lpwstr>
  </property>
  <property fmtid="{D5CDD505-2E9C-101B-9397-08002B2CF9AE}" pid="3" name="Created date">
    <vt:filetime>2020-03-09T14:51:07Z</vt:filetime>
  </property>
  <property fmtid="{D5CDD505-2E9C-101B-9397-08002B2CF9AE}" pid="4" name="Territory">
    <vt:lpwstr>Latvia</vt:lpwstr>
  </property>
  <property fmtid="{D5CDD505-2E9C-101B-9397-08002B2CF9AE}" pid="5" name="Date completed">
    <vt:lpwstr>9 March 2020</vt:lpwstr>
  </property>
  <property fmtid="{D5CDD505-2E9C-101B-9397-08002B2CF9AE}" pid="6" name="Document Language">
    <vt:lpwstr>English (US)</vt:lpwstr>
  </property>
</Properties>
</file>